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63F5E9">
      <w:pPr>
        <w:keepNext w:val="0"/>
        <w:keepLines w:val="0"/>
        <w:pageBreakBefore w:val="0"/>
        <w:kinsoku/>
        <w:wordWrap/>
        <w:overflowPunct/>
        <w:topLinePunct w:val="0"/>
        <w:autoSpaceDE/>
        <w:autoSpaceDN/>
        <w:bidi w:val="0"/>
        <w:adjustRightInd/>
        <w:snapToGrid/>
        <w:spacing w:line="560" w:lineRule="exact"/>
        <w:jc w:val="left"/>
        <w:textAlignment w:val="auto"/>
        <w:rPr>
          <w:rFonts w:ascii="仿宋_GB2312" w:eastAsia="仿宋_GB2312"/>
          <w:sz w:val="32"/>
          <w:szCs w:val="32"/>
        </w:rPr>
      </w:pPr>
      <w:r>
        <w:rPr>
          <w:rFonts w:hint="eastAsia" w:ascii="黑体" w:hAnsi="黑体" w:eastAsia="黑体" w:cs="黑体"/>
          <w:sz w:val="32"/>
          <w:szCs w:val="32"/>
          <w:lang w:val="en-US" w:eastAsia="zh-CN"/>
        </w:rPr>
        <w:t>附件1</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p>
    <w:p w14:paraId="5DDDD1D8">
      <w:pPr>
        <w:pStyle w:val="18"/>
        <w:spacing w:line="520" w:lineRule="exact"/>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2026年降本创效实施办法</w:t>
      </w:r>
    </w:p>
    <w:p w14:paraId="21C84262">
      <w:pPr>
        <w:spacing w:line="520" w:lineRule="exact"/>
        <w:rPr>
          <w:sz w:val="32"/>
          <w:szCs w:val="32"/>
        </w:rPr>
      </w:pPr>
      <w:r>
        <w:rPr>
          <w:sz w:val="32"/>
          <w:szCs w:val="32"/>
        </w:rPr>
        <w:t xml:space="preserve"> </w:t>
      </w:r>
    </w:p>
    <w:p w14:paraId="232EA87B">
      <w:pPr>
        <w:spacing w:line="520" w:lineRule="exact"/>
        <w:jc w:val="center"/>
        <w:rPr>
          <w:rFonts w:hint="eastAsia" w:ascii="仿宋_GB2312" w:hAnsi="宋体" w:eastAsia="仿宋_GB2312" w:cs="宋体"/>
          <w:b/>
          <w:bCs/>
          <w:color w:val="000000"/>
          <w:sz w:val="32"/>
          <w:szCs w:val="32"/>
        </w:rPr>
      </w:pPr>
      <w:r>
        <w:rPr>
          <w:rFonts w:hint="eastAsia" w:ascii="黑体" w:hAnsi="黑体" w:eastAsia="黑体" w:cs="宋体"/>
          <w:color w:val="000000"/>
          <w:sz w:val="32"/>
          <w:szCs w:val="32"/>
        </w:rPr>
        <w:t>第一章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总则</w:t>
      </w:r>
    </w:p>
    <w:p w14:paraId="50023CD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第一条 为持续深化“2025年降本创效实施方案”活动，全面完成集团公司下达的生产经营目标，提升经济运行质量，最大限度地节约开支，提高经济效益，经公司研究，制定本办法。</w:t>
      </w:r>
    </w:p>
    <w:p w14:paraId="00E3F85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第二条 绩效考核坚持以经济效益为核心，以年度预算为目标，把经营业绩与绩效考核分配相结合，突出自主和责任管理，</w:t>
      </w:r>
      <w:r>
        <w:rPr>
          <w:rFonts w:hint="eastAsia" w:ascii="仿宋_GB2312" w:hAnsi="宋体" w:eastAsia="仿宋_GB2312" w:cs="宋体"/>
          <w:b w:val="0"/>
          <w:bCs w:val="0"/>
          <w:color w:val="000000"/>
          <w:sz w:val="32"/>
          <w:szCs w:val="32"/>
          <w:lang w:eastAsia="zh-CN"/>
        </w:rPr>
        <w:t>促进</w:t>
      </w:r>
      <w:r>
        <w:rPr>
          <w:rFonts w:hint="eastAsia" w:ascii="仿宋_GB2312" w:hAnsi="宋体" w:eastAsia="仿宋_GB2312" w:cs="宋体"/>
          <w:b w:val="0"/>
          <w:bCs w:val="0"/>
          <w:color w:val="000000"/>
          <w:sz w:val="32"/>
          <w:szCs w:val="32"/>
        </w:rPr>
        <w:t>经济运行质量更优、效率更高。</w:t>
      </w:r>
    </w:p>
    <w:p w14:paraId="44BBEAD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第三条 考核原则</w:t>
      </w:r>
    </w:p>
    <w:p w14:paraId="782D18E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（一）客观公正、公开透明的原则；</w:t>
      </w:r>
    </w:p>
    <w:p w14:paraId="7520BF8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（二）分类分级联责考核、逐级监督的原则；</w:t>
      </w:r>
    </w:p>
    <w:p w14:paraId="045FF8F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（三）按规矩办事、按程序办事、按标准办事的原则；</w:t>
      </w:r>
    </w:p>
    <w:p w14:paraId="70DE85E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（四）横向到边，纵向到底的全方位考核与分析原则。</w:t>
      </w:r>
    </w:p>
    <w:p w14:paraId="23C4B46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第四条 成立经营管理领导小组</w:t>
      </w:r>
    </w:p>
    <w:p w14:paraId="4C49D56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党委书记/董事长、</w:t>
      </w:r>
      <w:r>
        <w:rPr>
          <w:rFonts w:hint="eastAsia" w:ascii="仿宋_GB2312" w:hAnsi="宋体" w:eastAsia="仿宋_GB2312" w:cs="宋体"/>
          <w:b w:val="0"/>
          <w:bCs w:val="0"/>
          <w:color w:val="000000"/>
          <w:sz w:val="32"/>
          <w:szCs w:val="32"/>
          <w:lang w:val="en-US" w:eastAsia="zh-CN"/>
        </w:rPr>
        <w:t>副</w:t>
      </w:r>
      <w:r>
        <w:rPr>
          <w:rFonts w:hint="eastAsia" w:ascii="仿宋_GB2312" w:hAnsi="宋体" w:eastAsia="仿宋_GB2312" w:cs="宋体"/>
          <w:b w:val="0"/>
          <w:bCs w:val="0"/>
          <w:color w:val="000000"/>
          <w:sz w:val="32"/>
          <w:szCs w:val="32"/>
        </w:rPr>
        <w:t>总经理</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en-US" w:eastAsia="zh-CN"/>
        </w:rPr>
        <w:t>主持工作）</w:t>
      </w:r>
      <w:r>
        <w:rPr>
          <w:rFonts w:hint="eastAsia" w:ascii="仿宋_GB2312" w:hAnsi="宋体" w:eastAsia="仿宋_GB2312" w:cs="宋体"/>
          <w:b w:val="0"/>
          <w:bCs w:val="0"/>
          <w:color w:val="000000"/>
          <w:sz w:val="32"/>
          <w:szCs w:val="32"/>
        </w:rPr>
        <w:t>任组长，</w:t>
      </w:r>
      <w:r>
        <w:rPr>
          <w:rFonts w:hint="eastAsia" w:ascii="仿宋_GB2312" w:hAnsi="宋体" w:eastAsia="仿宋_GB2312" w:cs="宋体"/>
          <w:b w:val="0"/>
          <w:bCs w:val="0"/>
          <w:color w:val="000000"/>
          <w:sz w:val="32"/>
          <w:szCs w:val="32"/>
          <w:lang w:val="en-US" w:eastAsia="zh-CN"/>
        </w:rPr>
        <w:t>其他</w:t>
      </w:r>
      <w:r>
        <w:rPr>
          <w:rFonts w:hint="eastAsia" w:ascii="仿宋_GB2312" w:hAnsi="宋体" w:eastAsia="仿宋_GB2312" w:cs="宋体"/>
          <w:b w:val="0"/>
          <w:bCs w:val="0"/>
          <w:color w:val="000000"/>
          <w:sz w:val="32"/>
          <w:szCs w:val="32"/>
        </w:rPr>
        <w:t>班子成员任副组长，副总师以及</w:t>
      </w:r>
      <w:r>
        <w:rPr>
          <w:rFonts w:hint="eastAsia" w:ascii="仿宋_GB2312" w:hAnsi="宋体" w:eastAsia="仿宋_GB2312" w:cs="宋体"/>
          <w:b w:val="0"/>
          <w:bCs w:val="0"/>
          <w:color w:val="000000"/>
          <w:sz w:val="32"/>
          <w:szCs w:val="32"/>
          <w:lang w:val="en-US" w:eastAsia="zh-CN"/>
        </w:rPr>
        <w:t>各部门</w:t>
      </w:r>
      <w:r>
        <w:rPr>
          <w:rFonts w:hint="eastAsia" w:ascii="仿宋_GB2312" w:hAnsi="宋体" w:eastAsia="仿宋_GB2312" w:cs="宋体"/>
          <w:b w:val="0"/>
          <w:bCs w:val="0"/>
          <w:color w:val="000000"/>
          <w:sz w:val="32"/>
          <w:szCs w:val="32"/>
        </w:rPr>
        <w:t xml:space="preserve">部长为成员。领导小组主要负责审批年度经营预算，审议、批准有关经营管理制度及预算调整事项，审议、批准经营绩效考核结果等有关经营活动的政策及决议。下设考核小组、数据分析小组。 </w:t>
      </w:r>
    </w:p>
    <w:p w14:paraId="478D4954">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（一）领导小组职责</w:t>
      </w:r>
    </w:p>
    <w:p w14:paraId="1243051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1.党委书记/董事长、</w:t>
      </w:r>
      <w:r>
        <w:rPr>
          <w:rFonts w:hint="eastAsia" w:ascii="仿宋_GB2312" w:hAnsi="宋体" w:eastAsia="仿宋_GB2312" w:cs="宋体"/>
          <w:b w:val="0"/>
          <w:bCs w:val="0"/>
          <w:color w:val="000000"/>
          <w:sz w:val="32"/>
          <w:szCs w:val="32"/>
          <w:lang w:val="en-US" w:eastAsia="zh-CN"/>
        </w:rPr>
        <w:t>副</w:t>
      </w:r>
      <w:r>
        <w:rPr>
          <w:rFonts w:hint="eastAsia" w:ascii="仿宋_GB2312" w:hAnsi="宋体" w:eastAsia="仿宋_GB2312" w:cs="宋体"/>
          <w:b w:val="0"/>
          <w:bCs w:val="0"/>
          <w:color w:val="000000"/>
          <w:sz w:val="32"/>
          <w:szCs w:val="32"/>
        </w:rPr>
        <w:t>总经理</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en-US" w:eastAsia="zh-CN"/>
        </w:rPr>
        <w:t>主持工作）</w:t>
      </w:r>
      <w:r>
        <w:rPr>
          <w:rFonts w:hint="eastAsia" w:ascii="仿宋_GB2312" w:hAnsi="宋体" w:eastAsia="仿宋_GB2312" w:cs="宋体"/>
          <w:b w:val="0"/>
          <w:bCs w:val="0"/>
          <w:color w:val="000000"/>
          <w:sz w:val="32"/>
          <w:szCs w:val="32"/>
        </w:rPr>
        <w:t xml:space="preserve">：负责全面组织各项生产经营指标的落实，确保完成集团公司下达的各项经营管理目标。 </w:t>
      </w:r>
    </w:p>
    <w:p w14:paraId="30271A9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2.经营副总经理：协助总经理加强日常经营管理工作，组织开展经营指标的考核与评价；监督、检查各项经营管理制度及经营管理目标的执行与落实情况。 </w:t>
      </w:r>
    </w:p>
    <w:p w14:paraId="67333D5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3.总工程师：负责组织开展</w:t>
      </w:r>
      <w:r>
        <w:rPr>
          <w:rFonts w:hint="eastAsia" w:ascii="仿宋_GB2312" w:hAnsi="宋体" w:eastAsia="仿宋_GB2312" w:cs="宋体"/>
          <w:b w:val="0"/>
          <w:bCs w:val="0"/>
          <w:color w:val="000000"/>
          <w:sz w:val="32"/>
          <w:szCs w:val="32"/>
          <w:lang w:val="en-US" w:eastAsia="zh-CN"/>
        </w:rPr>
        <w:t>安全</w:t>
      </w:r>
      <w:r>
        <w:rPr>
          <w:rFonts w:hint="eastAsia" w:ascii="仿宋_GB2312" w:hAnsi="宋体" w:eastAsia="仿宋_GB2312" w:cs="宋体"/>
          <w:b w:val="0"/>
          <w:bCs w:val="0"/>
          <w:color w:val="000000"/>
          <w:sz w:val="32"/>
          <w:szCs w:val="32"/>
        </w:rPr>
        <w:t xml:space="preserve">技术经济一体化活动，从技术源头上节支降耗，提高经济效益；负责督促、检查分管范围内各单位经营指标控制及管理措施的实施；是组织落实本专业各项生产经营指标的终端责任人。 </w:t>
      </w:r>
    </w:p>
    <w:p w14:paraId="33C5E8F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4.</w:t>
      </w:r>
      <w:r>
        <w:rPr>
          <w:rFonts w:hint="eastAsia" w:ascii="仿宋_GB2312" w:hAnsi="宋体" w:eastAsia="仿宋_GB2312" w:cs="宋体"/>
          <w:b w:val="0"/>
          <w:bCs w:val="0"/>
          <w:color w:val="000000"/>
          <w:sz w:val="32"/>
          <w:szCs w:val="32"/>
          <w:lang w:val="en-US" w:eastAsia="zh-CN"/>
        </w:rPr>
        <w:t>其他班子成员</w:t>
      </w:r>
      <w:r>
        <w:rPr>
          <w:rFonts w:hint="eastAsia" w:ascii="仿宋_GB2312" w:hAnsi="宋体" w:eastAsia="仿宋_GB2312" w:cs="宋体"/>
          <w:b w:val="0"/>
          <w:bCs w:val="0"/>
          <w:color w:val="000000"/>
          <w:sz w:val="32"/>
          <w:szCs w:val="32"/>
        </w:rPr>
        <w:t>：负责督促、检查分管范围内各单位经营指标控制及管理措施的实施；是组织落实本专业各项生产经营指标的终端责任人。</w:t>
      </w:r>
    </w:p>
    <w:p w14:paraId="4A86E67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5.各专业副总师协助分管领导开展分管范围内经营指标的落实与监督。 </w:t>
      </w:r>
    </w:p>
    <w:p w14:paraId="3444D09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6.职能部门：协助分管领导做好责任范围内的各项生产经营指标的分类控制与管理工作。 </w:t>
      </w:r>
    </w:p>
    <w:p w14:paraId="4F038E9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7.预算执行单位：各部门要严格落实公司各项经营管理制度，并结合本单位情况，制定切实可行的内部</w:t>
      </w:r>
      <w:r>
        <w:rPr>
          <w:rFonts w:hint="eastAsia" w:ascii="仿宋_GB2312" w:hAnsi="宋体" w:eastAsia="仿宋_GB2312" w:cs="宋体"/>
          <w:b w:val="0"/>
          <w:bCs w:val="0"/>
          <w:color w:val="000000"/>
          <w:sz w:val="32"/>
          <w:szCs w:val="32"/>
          <w:lang w:eastAsia="zh-CN"/>
        </w:rPr>
        <w:t>经营</w:t>
      </w:r>
      <w:r>
        <w:rPr>
          <w:rFonts w:hint="eastAsia" w:ascii="仿宋_GB2312" w:hAnsi="宋体" w:eastAsia="仿宋_GB2312" w:cs="宋体"/>
          <w:b w:val="0"/>
          <w:bCs w:val="0"/>
          <w:color w:val="000000"/>
          <w:sz w:val="32"/>
          <w:szCs w:val="32"/>
        </w:rPr>
        <w:t>管理考核措施，自主开展以班组为考核单元的成本控制和核算，要精打细算，将经营目标进行分解延伸到车间、班组、岗位和个人，将降本责任指标，纳入绩效考核体系，每月公示各岗位降本完成情况及绩效关联结果，对照降本目标进行考核奖惩，依据经营考核兑现机制，变“要绩效”为“算绩效”，充分调动了员工干事热情，形成全员参与、全过程管控的降本格局，确保各项经营指标的完成。</w:t>
      </w:r>
    </w:p>
    <w:p w14:paraId="56813CB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（二）考核小组组长为经营副总经理，成员为经管物资部、财务部。</w:t>
      </w:r>
      <w:r>
        <w:rPr>
          <w:rFonts w:hint="eastAsia" w:ascii="仿宋_GB2312" w:hAnsi="宋体" w:eastAsia="仿宋_GB2312" w:cs="宋体"/>
          <w:b w:val="0"/>
          <w:bCs w:val="0"/>
          <w:color w:val="000000"/>
          <w:sz w:val="32"/>
          <w:szCs w:val="32"/>
        </w:rPr>
        <w:t>职责：1.负责生产经营指标的落实，确保完成集团公司下达的各项经营管理目标。2.负责监督、考核各部门降本创效的举措及日常经营管理执行与落实情况。3.负责组织召开经营分析会工作。</w:t>
      </w:r>
    </w:p>
    <w:p w14:paraId="37035C3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（三）数据分析小组组长为总工程师，成员为</w:t>
      </w:r>
      <w:r>
        <w:rPr>
          <w:rFonts w:hint="eastAsia" w:ascii="楷体_GB2312" w:hAnsi="楷体_GB2312" w:eastAsia="楷体_GB2312" w:cs="楷体_GB2312"/>
          <w:b w:val="0"/>
          <w:bCs w:val="0"/>
          <w:color w:val="000000"/>
          <w:sz w:val="32"/>
          <w:szCs w:val="32"/>
          <w:lang w:eastAsia="zh-CN"/>
        </w:rPr>
        <w:t>调度指挥中心</w:t>
      </w:r>
      <w:r>
        <w:rPr>
          <w:rFonts w:hint="eastAsia" w:ascii="楷体_GB2312" w:hAnsi="楷体_GB2312" w:eastAsia="楷体_GB2312" w:cs="楷体_GB2312"/>
          <w:b w:val="0"/>
          <w:bCs w:val="0"/>
          <w:color w:val="000000"/>
          <w:sz w:val="32"/>
          <w:szCs w:val="32"/>
        </w:rPr>
        <w:t>、生产技术部、设备管理部、安全监管部、销售采购部、技改项目负责人等。</w:t>
      </w:r>
      <w:r>
        <w:rPr>
          <w:rFonts w:hint="eastAsia" w:ascii="仿宋_GB2312" w:hAnsi="宋体" w:eastAsia="仿宋_GB2312" w:cs="宋体"/>
          <w:b w:val="0"/>
          <w:bCs w:val="0"/>
          <w:color w:val="000000"/>
          <w:sz w:val="32"/>
          <w:szCs w:val="32"/>
        </w:rPr>
        <w:t>职责：1.负责对生产过程中各类数据进行收集、分析、记录，要对降本创效行动</w:t>
      </w:r>
      <w:r>
        <w:rPr>
          <w:rFonts w:hint="eastAsia" w:ascii="仿宋_GB2312" w:hAnsi="宋体" w:eastAsia="仿宋_GB2312" w:cs="宋体"/>
          <w:b w:val="0"/>
          <w:bCs w:val="0"/>
          <w:color w:val="000000"/>
          <w:sz w:val="32"/>
          <w:szCs w:val="32"/>
          <w:lang w:eastAsia="zh-CN"/>
        </w:rPr>
        <w:t>开展的详细</w:t>
      </w:r>
      <w:r>
        <w:rPr>
          <w:rFonts w:hint="eastAsia" w:ascii="仿宋_GB2312" w:hAnsi="宋体" w:eastAsia="仿宋_GB2312" w:cs="宋体"/>
          <w:b w:val="0"/>
          <w:bCs w:val="0"/>
          <w:color w:val="000000"/>
          <w:sz w:val="32"/>
          <w:szCs w:val="32"/>
        </w:rPr>
        <w:t>情况及做法组织实施。2.负责将降本创效行动与经济运行</w:t>
      </w:r>
      <w:r>
        <w:rPr>
          <w:rFonts w:hint="eastAsia" w:ascii="仿宋_GB2312" w:hAnsi="宋体" w:eastAsia="仿宋_GB2312" w:cs="宋体"/>
          <w:b w:val="0"/>
          <w:bCs w:val="0"/>
          <w:color w:val="000000"/>
          <w:sz w:val="32"/>
          <w:szCs w:val="32"/>
          <w:lang w:eastAsia="zh-CN"/>
        </w:rPr>
        <w:t>纳入</w:t>
      </w:r>
      <w:r>
        <w:rPr>
          <w:rFonts w:hint="eastAsia" w:ascii="仿宋_GB2312" w:hAnsi="宋体" w:eastAsia="仿宋_GB2312" w:cs="宋体"/>
          <w:b w:val="0"/>
          <w:bCs w:val="0"/>
          <w:color w:val="000000"/>
          <w:sz w:val="32"/>
          <w:szCs w:val="32"/>
        </w:rPr>
        <w:t>部门及车间的日常工作计划中，建立相关文档资料。3.负责分析、总结降本创效工作中的实效及问题，将实施过程中好的工作思路和工作方法通过会议或其他形式进行交流与学习。</w:t>
      </w:r>
    </w:p>
    <w:p w14:paraId="16F4E5F3">
      <w:pPr>
        <w:keepNext w:val="0"/>
        <w:keepLines w:val="0"/>
        <w:pageBreakBefore w:val="0"/>
        <w:wordWrap/>
        <w:overflowPunct/>
        <w:topLinePunct w:val="0"/>
        <w:bidi w:val="0"/>
        <w:spacing w:line="520" w:lineRule="exact"/>
        <w:jc w:val="center"/>
        <w:rPr>
          <w:rFonts w:hint="eastAsia" w:ascii="黑体" w:hAnsi="黑体" w:eastAsia="黑体" w:cs="宋体"/>
          <w:color w:val="000000"/>
          <w:sz w:val="32"/>
          <w:szCs w:val="32"/>
        </w:rPr>
      </w:pPr>
    </w:p>
    <w:p w14:paraId="750F8F20">
      <w:pPr>
        <w:spacing w:line="520" w:lineRule="exact"/>
        <w:jc w:val="center"/>
        <w:rPr>
          <w:rFonts w:hint="eastAsia" w:ascii="黑体" w:hAnsi="黑体" w:eastAsia="黑体" w:cs="宋体"/>
          <w:color w:val="000000"/>
          <w:sz w:val="32"/>
          <w:szCs w:val="32"/>
        </w:rPr>
      </w:pPr>
      <w:r>
        <w:rPr>
          <w:rFonts w:hint="eastAsia" w:ascii="黑体" w:hAnsi="黑体" w:eastAsia="黑体" w:cs="宋体"/>
          <w:color w:val="000000"/>
          <w:sz w:val="32"/>
          <w:szCs w:val="32"/>
        </w:rPr>
        <w:t>第二章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经营考核目标及管理模式</w:t>
      </w:r>
    </w:p>
    <w:p w14:paraId="70F2C37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第五条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经营考核目标</w:t>
      </w:r>
    </w:p>
    <w:p w14:paraId="2C41D4B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以“质效提升年”为</w:t>
      </w:r>
      <w:r>
        <w:rPr>
          <w:rFonts w:hint="eastAsia" w:ascii="仿宋_GB2312" w:hAnsi="宋体" w:eastAsia="仿宋_GB2312" w:cs="宋体"/>
          <w:b w:val="0"/>
          <w:bCs w:val="0"/>
          <w:color w:val="000000"/>
          <w:sz w:val="32"/>
          <w:szCs w:val="32"/>
          <w:lang w:val="en-US" w:eastAsia="zh-CN"/>
        </w:rPr>
        <w:t>主题</w:t>
      </w:r>
      <w:r>
        <w:rPr>
          <w:rFonts w:hint="eastAsia" w:ascii="仿宋_GB2312" w:hAnsi="宋体" w:eastAsia="仿宋_GB2312" w:cs="宋体"/>
          <w:b w:val="0"/>
          <w:bCs w:val="0"/>
          <w:color w:val="000000"/>
          <w:sz w:val="32"/>
          <w:szCs w:val="32"/>
        </w:rPr>
        <w:t>，</w:t>
      </w:r>
      <w:r>
        <w:rPr>
          <w:rFonts w:hint="eastAsia" w:ascii="仿宋_GB2312" w:hAnsi="宋体" w:eastAsia="仿宋_GB2312" w:cs="宋体"/>
          <w:b w:val="0"/>
          <w:bCs w:val="0"/>
          <w:color w:val="000000"/>
          <w:sz w:val="32"/>
          <w:szCs w:val="32"/>
          <w:lang w:eastAsia="zh-CN"/>
        </w:rPr>
        <w:t>构建</w:t>
      </w:r>
      <w:r>
        <w:rPr>
          <w:rFonts w:hint="eastAsia" w:ascii="仿宋_GB2312" w:hAnsi="宋体" w:eastAsia="仿宋_GB2312" w:cs="宋体"/>
          <w:b w:val="0"/>
          <w:bCs w:val="0"/>
          <w:color w:val="000000"/>
          <w:sz w:val="32"/>
          <w:szCs w:val="32"/>
        </w:rPr>
        <w:t>“12321”考核体系，形成纵横到边多维度立体式管控模式。结合公司实际，明确一个目标，即：“2026年度利润</w:t>
      </w:r>
      <w:r>
        <w:rPr>
          <w:rFonts w:hint="eastAsia" w:ascii="仿宋_GB2312" w:hAnsi="宋体" w:eastAsia="仿宋_GB2312" w:cs="宋体"/>
          <w:b w:val="0"/>
          <w:bCs w:val="0"/>
          <w:color w:val="000000"/>
          <w:sz w:val="32"/>
          <w:szCs w:val="32"/>
          <w:lang w:val="en-US" w:eastAsia="zh-CN"/>
        </w:rPr>
        <w:t>亏损3467.15</w:t>
      </w:r>
      <w:r>
        <w:rPr>
          <w:rFonts w:hint="eastAsia" w:ascii="仿宋_GB2312" w:hAnsi="宋体" w:eastAsia="仿宋_GB2312" w:cs="宋体"/>
          <w:b w:val="0"/>
          <w:bCs w:val="0"/>
          <w:color w:val="000000"/>
          <w:sz w:val="32"/>
          <w:szCs w:val="32"/>
        </w:rPr>
        <w:t>万元”，以全面预算为依据，闭合分解生产经营各类指标到管理部门与预算执行单位。实现“二个确保”，即：“精甲醇产量34.50万吨，单位完全成本</w:t>
      </w:r>
      <w:r>
        <w:rPr>
          <w:rFonts w:hint="eastAsia" w:ascii="仿宋_GB2312" w:hAnsi="宋体" w:eastAsia="仿宋_GB2312" w:cs="宋体"/>
          <w:b w:val="0"/>
          <w:bCs w:val="0"/>
          <w:color w:val="000000"/>
          <w:sz w:val="32"/>
          <w:szCs w:val="32"/>
          <w:lang w:val="en-US" w:eastAsia="zh-CN"/>
        </w:rPr>
        <w:t>控制在1989.54元/吨之内</w:t>
      </w:r>
      <w:r>
        <w:rPr>
          <w:rFonts w:hint="eastAsia" w:ascii="仿宋_GB2312" w:hAnsi="宋体" w:eastAsia="仿宋_GB2312" w:cs="宋体"/>
          <w:b w:val="0"/>
          <w:bCs w:val="0"/>
          <w:color w:val="000000"/>
          <w:sz w:val="32"/>
          <w:szCs w:val="32"/>
        </w:rPr>
        <w:t>”。建立“三个市场”，即：“公司大市场</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车间小市场</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en-US" w:eastAsia="zh-CN"/>
        </w:rPr>
        <w:t>班组</w:t>
      </w:r>
      <w:r>
        <w:rPr>
          <w:rFonts w:hint="eastAsia" w:ascii="仿宋_GB2312" w:hAnsi="宋体" w:eastAsia="仿宋_GB2312" w:cs="宋体"/>
          <w:b w:val="0"/>
          <w:bCs w:val="0"/>
          <w:color w:val="000000"/>
          <w:sz w:val="32"/>
          <w:szCs w:val="32"/>
        </w:rPr>
        <w:t>微市场”的三级考核机制。落实“二个考评模式”，即：“管理人员考评模式、经营主体考评模式”。推行“一个</w:t>
      </w:r>
      <w:r>
        <w:rPr>
          <w:rFonts w:hint="eastAsia" w:ascii="仿宋_GB2312" w:hAnsi="宋体" w:eastAsia="仿宋_GB2312" w:cs="宋体"/>
          <w:b w:val="0"/>
          <w:bCs w:val="0"/>
          <w:color w:val="000000"/>
          <w:sz w:val="32"/>
          <w:szCs w:val="32"/>
          <w:lang w:val="en-US" w:eastAsia="zh-CN"/>
        </w:rPr>
        <w:t>降本</w:t>
      </w:r>
      <w:r>
        <w:rPr>
          <w:rFonts w:hint="eastAsia" w:ascii="仿宋_GB2312" w:hAnsi="宋体" w:eastAsia="仿宋_GB2312" w:cs="宋体"/>
          <w:b w:val="0"/>
          <w:bCs w:val="0"/>
          <w:color w:val="000000"/>
          <w:sz w:val="32"/>
          <w:szCs w:val="32"/>
        </w:rPr>
        <w:t>创效责任清单”即：“2026年</w:t>
      </w:r>
      <w:r>
        <w:rPr>
          <w:rFonts w:hint="eastAsia" w:ascii="仿宋_GB2312" w:hAnsi="宋体" w:eastAsia="仿宋_GB2312" w:cs="宋体"/>
          <w:b w:val="0"/>
          <w:bCs w:val="0"/>
          <w:color w:val="000000"/>
          <w:sz w:val="32"/>
          <w:szCs w:val="32"/>
          <w:lang w:val="en-US" w:eastAsia="zh-CN"/>
        </w:rPr>
        <w:t>降本</w:t>
      </w:r>
      <w:r>
        <w:rPr>
          <w:rFonts w:hint="eastAsia" w:ascii="仿宋_GB2312" w:hAnsi="宋体" w:eastAsia="仿宋_GB2312" w:cs="宋体"/>
          <w:b w:val="0"/>
          <w:bCs w:val="0"/>
          <w:color w:val="000000"/>
          <w:sz w:val="32"/>
          <w:szCs w:val="32"/>
        </w:rPr>
        <w:t>创效责任清单”。</w:t>
      </w:r>
    </w:p>
    <w:p w14:paraId="748B6A7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第六条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确定核算经营模式</w:t>
      </w:r>
    </w:p>
    <w:p w14:paraId="23814C1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各单位根据实际情况确定符合自身的内部经营管理体系，形成以车间、班组为依据设置，逐步以岗位为最小的核算模式。</w:t>
      </w:r>
    </w:p>
    <w:p w14:paraId="325048C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公司大市场，是一级考核主体，由公司考核办对各部门执行考核； </w:t>
      </w:r>
    </w:p>
    <w:p w14:paraId="4D03AB0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车间小市场，是二级考核主体，由部门对各车间执行计件考核。</w:t>
      </w:r>
    </w:p>
    <w:p w14:paraId="20C58EC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班组微市场，是三级考核主体，由</w:t>
      </w:r>
      <w:r>
        <w:rPr>
          <w:rFonts w:hint="eastAsia" w:ascii="仿宋_GB2312" w:hAnsi="宋体" w:eastAsia="仿宋_GB2312" w:cs="宋体"/>
          <w:b w:val="0"/>
          <w:bCs w:val="0"/>
          <w:color w:val="000000"/>
          <w:sz w:val="32"/>
          <w:szCs w:val="32"/>
          <w:lang w:val="en-US" w:eastAsia="zh-CN"/>
        </w:rPr>
        <w:t>车间</w:t>
      </w:r>
      <w:r>
        <w:rPr>
          <w:rFonts w:hint="eastAsia" w:ascii="仿宋_GB2312" w:hAnsi="宋体" w:eastAsia="仿宋_GB2312" w:cs="宋体"/>
          <w:b w:val="0"/>
          <w:bCs w:val="0"/>
          <w:color w:val="000000"/>
          <w:sz w:val="32"/>
          <w:szCs w:val="32"/>
        </w:rPr>
        <w:t>对班组执行计件考核。</w:t>
      </w:r>
    </w:p>
    <w:p w14:paraId="5604251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第七条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核算的要求</w:t>
      </w:r>
    </w:p>
    <w:p w14:paraId="780FBC4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各单位设内部经营核算人员（兼职），按照业务核算要求，各单位应做到按时按质按量</w:t>
      </w:r>
      <w:r>
        <w:rPr>
          <w:rFonts w:hint="eastAsia" w:ascii="仿宋_GB2312" w:hAnsi="宋体" w:eastAsia="仿宋_GB2312" w:cs="宋体"/>
          <w:b w:val="0"/>
          <w:bCs w:val="0"/>
          <w:color w:val="000000"/>
          <w:sz w:val="32"/>
          <w:szCs w:val="32"/>
          <w:lang w:eastAsia="zh-CN"/>
        </w:rPr>
        <w:t>地</w:t>
      </w:r>
      <w:r>
        <w:rPr>
          <w:rFonts w:hint="eastAsia" w:ascii="仿宋_GB2312" w:hAnsi="宋体" w:eastAsia="仿宋_GB2312" w:cs="宋体"/>
          <w:b w:val="0"/>
          <w:bCs w:val="0"/>
          <w:color w:val="000000"/>
          <w:sz w:val="32"/>
          <w:szCs w:val="32"/>
        </w:rPr>
        <w:t>完成，每天（旬）消耗统计、预算执行情况、分配情况、内部管理、检查中出现的问题及限期整改等；对车间、班组的基础核算数据进行核实、建立各项成本消耗台账、分配台账、</w:t>
      </w:r>
      <w:r>
        <w:rPr>
          <w:rFonts w:hint="eastAsia" w:ascii="仿宋_GB2312" w:hAnsi="宋体" w:eastAsia="仿宋_GB2312" w:cs="宋体"/>
          <w:b w:val="0"/>
          <w:bCs w:val="0"/>
          <w:color w:val="000000"/>
          <w:sz w:val="32"/>
          <w:szCs w:val="32"/>
          <w:lang w:val="zh-CN"/>
        </w:rPr>
        <w:t>做好</w:t>
      </w:r>
      <w:r>
        <w:rPr>
          <w:rFonts w:hint="eastAsia" w:ascii="仿宋_GB2312" w:hAnsi="宋体" w:eastAsia="仿宋_GB2312" w:cs="宋体"/>
          <w:b w:val="0"/>
          <w:bCs w:val="0"/>
          <w:color w:val="000000"/>
          <w:sz w:val="32"/>
          <w:szCs w:val="32"/>
        </w:rPr>
        <w:t>月度</w:t>
      </w:r>
      <w:r>
        <w:rPr>
          <w:rFonts w:hint="eastAsia" w:ascii="仿宋_GB2312" w:hAnsi="宋体" w:eastAsia="仿宋_GB2312" w:cs="宋体"/>
          <w:b w:val="0"/>
          <w:bCs w:val="0"/>
          <w:color w:val="000000"/>
          <w:sz w:val="32"/>
          <w:szCs w:val="32"/>
          <w:lang w:val="zh-CN"/>
        </w:rPr>
        <w:t>分析</w:t>
      </w:r>
      <w:r>
        <w:rPr>
          <w:rFonts w:hint="eastAsia" w:ascii="仿宋_GB2312" w:hAnsi="宋体" w:eastAsia="仿宋_GB2312" w:cs="宋体"/>
          <w:b w:val="0"/>
          <w:bCs w:val="0"/>
          <w:color w:val="000000"/>
          <w:sz w:val="32"/>
          <w:szCs w:val="32"/>
        </w:rPr>
        <w:t>，查找各项考核指标节超原因、管理工作存在的问题，成本费用使用情况、各项制度执行情况，并制定改进措施。</w:t>
      </w:r>
    </w:p>
    <w:p w14:paraId="0EB77A6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注：纪委为督导督办单位，不设经营</w:t>
      </w:r>
      <w:r>
        <w:rPr>
          <w:rFonts w:hint="eastAsia" w:ascii="仿宋_GB2312" w:hAnsi="宋体" w:eastAsia="仿宋_GB2312" w:cs="宋体"/>
          <w:b w:val="0"/>
          <w:bCs w:val="0"/>
          <w:color w:val="000000"/>
          <w:sz w:val="32"/>
          <w:szCs w:val="32"/>
          <w:lang w:val="zh-CN"/>
        </w:rPr>
        <w:t>核算</w:t>
      </w:r>
      <w:r>
        <w:rPr>
          <w:rFonts w:hint="eastAsia" w:ascii="仿宋_GB2312" w:hAnsi="宋体" w:eastAsia="仿宋_GB2312" w:cs="宋体"/>
          <w:b w:val="0"/>
          <w:bCs w:val="0"/>
          <w:color w:val="000000"/>
          <w:sz w:val="32"/>
          <w:szCs w:val="32"/>
        </w:rPr>
        <w:t>人</w:t>
      </w:r>
      <w:r>
        <w:rPr>
          <w:rFonts w:hint="eastAsia" w:ascii="仿宋_GB2312" w:hAnsi="宋体" w:eastAsia="仿宋_GB2312" w:cs="宋体"/>
          <w:b w:val="0"/>
          <w:bCs w:val="0"/>
          <w:color w:val="000000"/>
          <w:sz w:val="32"/>
          <w:szCs w:val="32"/>
          <w:lang w:val="zh-CN"/>
        </w:rPr>
        <w:t>员</w:t>
      </w:r>
      <w:r>
        <w:rPr>
          <w:rFonts w:hint="eastAsia" w:ascii="仿宋_GB2312" w:hAnsi="宋体" w:eastAsia="仿宋_GB2312" w:cs="宋体"/>
          <w:b w:val="0"/>
          <w:bCs w:val="0"/>
          <w:color w:val="000000"/>
          <w:sz w:val="32"/>
          <w:szCs w:val="32"/>
        </w:rPr>
        <w:t>。</w:t>
      </w:r>
    </w:p>
    <w:p w14:paraId="2FDF0C9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第八条 内部预算及数据分析要求</w:t>
      </w:r>
    </w:p>
    <w:p w14:paraId="1AF2FAE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公司各职能部门按照经营考核领导小组安排参与经营考核事宜，及时形成数据分析及追责问责汇报材料。</w:t>
      </w:r>
    </w:p>
    <w:p w14:paraId="768F9DD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生产技术部根据公司及上级部门要求，制定年度生产预算，包括：主产品、副产品以及中间产品的生产量；生产数据分析、技改技措推进创效等工作；部门下属各车间工艺操作流程管控分析、相关成本考核等指标的月度分解、审核与汇总工作。</w:t>
      </w:r>
    </w:p>
    <w:p w14:paraId="7EA851D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设备管理部根据全年预算总指标按各车间做好备品备件、电力消耗、仪器仪表、阀门维修、设备修理费用等指标的月度分解、审核与汇总工作；设备稳定运行数据分析、修旧利废、技改技措推进创效等工作。</w:t>
      </w:r>
    </w:p>
    <w:p w14:paraId="1A57CF0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各车间在公司年度生产预算的基础上</w:t>
      </w:r>
      <w:r>
        <w:rPr>
          <w:rFonts w:hint="eastAsia" w:ascii="仿宋_GB2312" w:hAnsi="宋体" w:eastAsia="仿宋_GB2312" w:cs="宋体"/>
          <w:b w:val="0"/>
          <w:bCs w:val="0"/>
          <w:color w:val="000000"/>
          <w:sz w:val="32"/>
          <w:szCs w:val="32"/>
          <w:lang w:eastAsia="zh-CN"/>
        </w:rPr>
        <w:t>编制</w:t>
      </w:r>
      <w:r>
        <w:rPr>
          <w:rFonts w:hint="eastAsia" w:ascii="仿宋_GB2312" w:hAnsi="宋体" w:eastAsia="仿宋_GB2312" w:cs="宋体"/>
          <w:b w:val="0"/>
          <w:bCs w:val="0"/>
          <w:color w:val="000000"/>
          <w:sz w:val="32"/>
          <w:szCs w:val="32"/>
        </w:rPr>
        <w:t>各单位需求计划，包括：原材料、维修、电力等所有消耗支出以及需上一生产环节提供的中间产品，如：蒸汽、水、氧气等，该预算应以定量编制为主的数据分析等工作。</w:t>
      </w:r>
    </w:p>
    <w:p w14:paraId="35AD8B5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安全监管部要落实安全1号文、现场标准化、环境保护、危废处置等预算及数据分析等考核分析工作。</w:t>
      </w:r>
    </w:p>
    <w:p w14:paraId="5DC68B7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人力资源部要根据岗位评价结果以“增人不增资，减人不减资”原则核定各部门工资预算，同时月度对工资结构进行分析对比等工作。</w:t>
      </w:r>
    </w:p>
    <w:p w14:paraId="24E1942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负责内部计量数据的监督、收集、统计，同时在出现计量等纠纷时进行调解、裁决。</w:t>
      </w:r>
    </w:p>
    <w:p w14:paraId="7CFC4A1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财务部负责按照集团公司组织公司全面预算编制、汇总、审查分解等工作，指导各单位按照集团公司下达预算指标做好预算指标分解工作；成本周通报、月分析等工作。</w:t>
      </w:r>
    </w:p>
    <w:p w14:paraId="75B2621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销售采购部负责全面物资采购预算编制、审批、上报、汇总、采购以及产品市场分析等工作。</w:t>
      </w:r>
    </w:p>
    <w:p w14:paraId="5769E63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经管物资部根据全面预算及核定后的部门预算制定各生产、经营环节的内部考核工作；监督二、三级考核主体细化分解到各车间、班组。</w:t>
      </w:r>
    </w:p>
    <w:p w14:paraId="14B0DDE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纪委履行监督、执纪、问责和监督、调查、提出处理意见的责任部门。</w:t>
      </w:r>
    </w:p>
    <w:p w14:paraId="603E140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仿宋_GB2312" w:hAnsi="宋体" w:eastAsia="仿宋_GB2312" w:cs="宋体"/>
          <w:b w:val="0"/>
          <w:bCs w:val="0"/>
          <w:color w:val="000000"/>
          <w:sz w:val="32"/>
          <w:szCs w:val="32"/>
        </w:rPr>
        <w:t>第九条 经营</w:t>
      </w:r>
      <w:r>
        <w:rPr>
          <w:rFonts w:hint="eastAsia" w:ascii="仿宋_GB2312" w:hAnsi="宋体" w:eastAsia="仿宋_GB2312" w:cs="宋体"/>
          <w:b w:val="0"/>
          <w:bCs w:val="0"/>
          <w:color w:val="000000"/>
          <w:sz w:val="32"/>
          <w:szCs w:val="32"/>
          <w:lang w:val="zh-CN"/>
        </w:rPr>
        <w:t>核算</w:t>
      </w:r>
      <w:r>
        <w:rPr>
          <w:rFonts w:hint="eastAsia" w:ascii="仿宋_GB2312" w:hAnsi="宋体" w:eastAsia="仿宋_GB2312" w:cs="宋体"/>
          <w:b w:val="0"/>
          <w:bCs w:val="0"/>
          <w:color w:val="000000"/>
          <w:sz w:val="32"/>
          <w:szCs w:val="32"/>
        </w:rPr>
        <w:t>人</w:t>
      </w:r>
      <w:r>
        <w:rPr>
          <w:rFonts w:hint="eastAsia" w:ascii="仿宋_GB2312" w:hAnsi="宋体" w:eastAsia="仿宋_GB2312" w:cs="宋体"/>
          <w:b w:val="0"/>
          <w:bCs w:val="0"/>
          <w:color w:val="000000"/>
          <w:sz w:val="32"/>
          <w:szCs w:val="32"/>
          <w:lang w:val="zh-CN"/>
        </w:rPr>
        <w:t>员绩效工资待遇</w:t>
      </w:r>
    </w:p>
    <w:p w14:paraId="4892347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eastAsia="zh-CN"/>
        </w:rPr>
      </w:pPr>
      <w:r>
        <w:rPr>
          <w:rFonts w:hint="eastAsia" w:ascii="仿宋_GB2312" w:hAnsi="宋体" w:eastAsia="仿宋_GB2312" w:cs="宋体"/>
          <w:b w:val="0"/>
          <w:bCs w:val="0"/>
          <w:color w:val="000000"/>
          <w:sz w:val="32"/>
          <w:szCs w:val="32"/>
        </w:rPr>
        <w:t>经营</w:t>
      </w:r>
      <w:r>
        <w:rPr>
          <w:rFonts w:hint="eastAsia" w:ascii="仿宋_GB2312" w:hAnsi="宋体" w:eastAsia="仿宋_GB2312" w:cs="宋体"/>
          <w:b w:val="0"/>
          <w:bCs w:val="0"/>
          <w:color w:val="000000"/>
          <w:sz w:val="32"/>
          <w:szCs w:val="32"/>
          <w:lang w:val="zh-CN"/>
        </w:rPr>
        <w:t>核算</w:t>
      </w:r>
      <w:r>
        <w:rPr>
          <w:rFonts w:hint="eastAsia" w:ascii="仿宋_GB2312" w:hAnsi="宋体" w:eastAsia="仿宋_GB2312" w:cs="宋体"/>
          <w:b w:val="0"/>
          <w:bCs w:val="0"/>
          <w:color w:val="000000"/>
          <w:sz w:val="32"/>
          <w:szCs w:val="32"/>
        </w:rPr>
        <w:t>人</w:t>
      </w:r>
      <w:r>
        <w:rPr>
          <w:rFonts w:hint="eastAsia" w:ascii="仿宋_GB2312" w:hAnsi="宋体" w:eastAsia="仿宋_GB2312" w:cs="宋体"/>
          <w:b w:val="0"/>
          <w:bCs w:val="0"/>
          <w:color w:val="000000"/>
          <w:sz w:val="32"/>
          <w:szCs w:val="32"/>
          <w:lang w:val="zh-CN"/>
        </w:rPr>
        <w:t>员</w:t>
      </w:r>
      <w:r>
        <w:rPr>
          <w:rFonts w:hint="eastAsia" w:ascii="仿宋_GB2312" w:hAnsi="宋体" w:eastAsia="仿宋_GB2312" w:cs="宋体"/>
          <w:b w:val="0"/>
          <w:bCs w:val="0"/>
          <w:color w:val="000000"/>
          <w:sz w:val="32"/>
          <w:szCs w:val="32"/>
          <w:lang w:val="en-US" w:eastAsia="zh-CN"/>
        </w:rPr>
        <w:t>可以</w:t>
      </w:r>
      <w:r>
        <w:rPr>
          <w:rFonts w:hint="eastAsia" w:ascii="仿宋_GB2312" w:hAnsi="宋体" w:eastAsia="仿宋_GB2312" w:cs="宋体"/>
          <w:b w:val="0"/>
          <w:bCs w:val="0"/>
          <w:color w:val="000000"/>
          <w:sz w:val="32"/>
          <w:szCs w:val="32"/>
        </w:rPr>
        <w:t>由该部门合规管理员</w:t>
      </w:r>
      <w:r>
        <w:rPr>
          <w:rFonts w:hint="eastAsia" w:ascii="仿宋_GB2312" w:hAnsi="宋体" w:eastAsia="仿宋_GB2312" w:cs="宋体"/>
          <w:b w:val="0"/>
          <w:bCs w:val="0"/>
          <w:color w:val="000000"/>
          <w:sz w:val="32"/>
          <w:szCs w:val="32"/>
          <w:lang w:val="zh-CN"/>
        </w:rPr>
        <w:t>兼</w:t>
      </w:r>
      <w:r>
        <w:rPr>
          <w:rFonts w:hint="eastAsia" w:ascii="仿宋_GB2312" w:hAnsi="宋体" w:eastAsia="仿宋_GB2312" w:cs="宋体"/>
          <w:b w:val="0"/>
          <w:bCs w:val="0"/>
          <w:color w:val="000000"/>
          <w:sz w:val="32"/>
          <w:szCs w:val="32"/>
        </w:rPr>
        <w:t>任</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en-US" w:eastAsia="zh-CN"/>
        </w:rPr>
        <w:t>也可以根据部门（车间）具体情况设定</w:t>
      </w:r>
      <w:r>
        <w:rPr>
          <w:rFonts w:hint="eastAsia" w:ascii="仿宋_GB2312" w:hAnsi="宋体" w:eastAsia="仿宋_GB2312" w:cs="宋体"/>
          <w:b w:val="0"/>
          <w:bCs w:val="0"/>
          <w:color w:val="000000"/>
          <w:sz w:val="32"/>
          <w:szCs w:val="32"/>
          <w:lang w:val="zh-CN"/>
        </w:rPr>
        <w:t>，绩效工资待遇在公司</w:t>
      </w:r>
      <w:r>
        <w:rPr>
          <w:rFonts w:hint="eastAsia" w:ascii="仿宋_GB2312" w:hAnsi="宋体" w:eastAsia="仿宋_GB2312" w:cs="宋体"/>
          <w:b w:val="0"/>
          <w:bCs w:val="0"/>
          <w:color w:val="000000"/>
          <w:sz w:val="32"/>
          <w:szCs w:val="32"/>
        </w:rPr>
        <w:t>经营绩效</w:t>
      </w:r>
      <w:r>
        <w:rPr>
          <w:rFonts w:hint="eastAsia" w:ascii="仿宋_GB2312" w:hAnsi="宋体" w:eastAsia="仿宋_GB2312" w:cs="宋体"/>
          <w:b w:val="0"/>
          <w:bCs w:val="0"/>
          <w:color w:val="000000"/>
          <w:sz w:val="32"/>
          <w:szCs w:val="32"/>
          <w:lang w:val="zh-CN"/>
        </w:rPr>
        <w:t>薪酬规定的基础上调0.2个系数，</w:t>
      </w:r>
      <w:r>
        <w:rPr>
          <w:rFonts w:hint="eastAsia" w:ascii="仿宋_GB2312" w:hAnsi="宋体" w:eastAsia="仿宋_GB2312" w:cs="宋体"/>
          <w:b w:val="0"/>
          <w:bCs w:val="0"/>
          <w:color w:val="000000"/>
          <w:sz w:val="32"/>
          <w:szCs w:val="32"/>
        </w:rPr>
        <w:t>经营</w:t>
      </w:r>
      <w:r>
        <w:rPr>
          <w:rFonts w:hint="eastAsia" w:ascii="仿宋_GB2312" w:hAnsi="宋体" w:eastAsia="仿宋_GB2312" w:cs="宋体"/>
          <w:b w:val="0"/>
          <w:bCs w:val="0"/>
          <w:color w:val="000000"/>
          <w:sz w:val="32"/>
          <w:szCs w:val="32"/>
          <w:lang w:val="zh-CN"/>
        </w:rPr>
        <w:t>核算</w:t>
      </w:r>
      <w:r>
        <w:rPr>
          <w:rFonts w:hint="eastAsia" w:ascii="仿宋_GB2312" w:hAnsi="宋体" w:eastAsia="仿宋_GB2312" w:cs="宋体"/>
          <w:b w:val="0"/>
          <w:bCs w:val="0"/>
          <w:color w:val="000000"/>
          <w:sz w:val="32"/>
          <w:szCs w:val="32"/>
        </w:rPr>
        <w:t>人</w:t>
      </w:r>
      <w:r>
        <w:rPr>
          <w:rFonts w:hint="eastAsia" w:ascii="仿宋_GB2312" w:hAnsi="宋体" w:eastAsia="仿宋_GB2312" w:cs="宋体"/>
          <w:b w:val="0"/>
          <w:bCs w:val="0"/>
          <w:color w:val="000000"/>
          <w:sz w:val="32"/>
          <w:szCs w:val="32"/>
          <w:lang w:val="zh-CN"/>
        </w:rPr>
        <w:t>员</w:t>
      </w:r>
      <w:r>
        <w:rPr>
          <w:rFonts w:hint="eastAsia" w:ascii="仿宋_GB2312" w:hAnsi="宋体" w:eastAsia="仿宋_GB2312" w:cs="宋体"/>
          <w:b w:val="0"/>
          <w:bCs w:val="0"/>
          <w:color w:val="000000"/>
          <w:sz w:val="32"/>
          <w:szCs w:val="32"/>
          <w:lang w:val="en-US" w:eastAsia="zh-CN"/>
        </w:rPr>
        <w:t>待遇由</w:t>
      </w:r>
      <w:r>
        <w:rPr>
          <w:rFonts w:hint="eastAsia" w:ascii="仿宋_GB2312" w:hAnsi="宋体" w:eastAsia="仿宋_GB2312" w:cs="宋体"/>
          <w:b w:val="0"/>
          <w:bCs w:val="0"/>
          <w:color w:val="000000"/>
          <w:sz w:val="32"/>
          <w:szCs w:val="32"/>
          <w:lang w:val="zh-CN"/>
        </w:rPr>
        <w:t>各部门、车间</w:t>
      </w:r>
      <w:r>
        <w:rPr>
          <w:rFonts w:hint="eastAsia" w:ascii="仿宋_GB2312" w:hAnsi="宋体" w:eastAsia="仿宋_GB2312" w:cs="宋体"/>
          <w:b w:val="0"/>
          <w:bCs w:val="0"/>
          <w:color w:val="000000"/>
          <w:sz w:val="32"/>
          <w:szCs w:val="32"/>
          <w:lang w:val="en-US" w:eastAsia="zh-CN"/>
        </w:rPr>
        <w:t>自主管理落实到内部经营管理制度内，纳入本单位</w:t>
      </w:r>
      <w:r>
        <w:rPr>
          <w:rFonts w:hint="eastAsia" w:ascii="仿宋_GB2312" w:hAnsi="宋体" w:eastAsia="仿宋_GB2312" w:cs="宋体"/>
          <w:b w:val="0"/>
          <w:bCs w:val="0"/>
          <w:color w:val="000000"/>
          <w:sz w:val="32"/>
          <w:szCs w:val="32"/>
        </w:rPr>
        <w:t>内部绩效分配</w:t>
      </w:r>
      <w:r>
        <w:rPr>
          <w:rFonts w:hint="eastAsia" w:ascii="仿宋_GB2312" w:hAnsi="宋体" w:eastAsia="仿宋_GB2312" w:cs="宋体"/>
          <w:b w:val="0"/>
          <w:bCs w:val="0"/>
          <w:color w:val="000000"/>
          <w:sz w:val="32"/>
          <w:szCs w:val="32"/>
          <w:lang w:eastAsia="zh-CN"/>
        </w:rPr>
        <w:t>。</w:t>
      </w:r>
    </w:p>
    <w:p w14:paraId="2BF3ABB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考核依据：以公司经营工作范畴，落实《</w:t>
      </w:r>
      <w:r>
        <w:rPr>
          <w:rFonts w:hint="eastAsia" w:ascii="仿宋_GB2312" w:hAnsi="宋体" w:eastAsia="仿宋_GB2312" w:cs="宋体"/>
          <w:b w:val="0"/>
          <w:bCs w:val="0"/>
          <w:color w:val="000000"/>
          <w:sz w:val="32"/>
          <w:szCs w:val="32"/>
          <w:lang w:val="zh-CN"/>
        </w:rPr>
        <w:t>202</w:t>
      </w:r>
      <w:r>
        <w:rPr>
          <w:rFonts w:hint="eastAsia" w:ascii="仿宋_GB2312" w:hAnsi="宋体" w:eastAsia="仿宋_GB2312" w:cs="宋体"/>
          <w:b w:val="0"/>
          <w:bCs w:val="0"/>
          <w:color w:val="000000"/>
          <w:sz w:val="32"/>
          <w:szCs w:val="32"/>
        </w:rPr>
        <w:t>6</w:t>
      </w:r>
      <w:r>
        <w:rPr>
          <w:rFonts w:hint="eastAsia" w:ascii="仿宋_GB2312" w:hAnsi="宋体" w:eastAsia="仿宋_GB2312" w:cs="宋体"/>
          <w:b w:val="0"/>
          <w:bCs w:val="0"/>
          <w:color w:val="000000"/>
          <w:sz w:val="32"/>
          <w:szCs w:val="32"/>
          <w:lang w:val="zh-CN"/>
        </w:rPr>
        <w:t>年经营管理与监督考核实施意见</w:t>
      </w:r>
      <w:r>
        <w:rPr>
          <w:rFonts w:hint="eastAsia" w:ascii="仿宋_GB2312" w:hAnsi="宋体" w:eastAsia="仿宋_GB2312" w:cs="宋体"/>
          <w:b w:val="0"/>
          <w:bCs w:val="0"/>
          <w:color w:val="000000"/>
          <w:sz w:val="32"/>
          <w:szCs w:val="32"/>
        </w:rPr>
        <w:t>》与合规管理相关规定等制度要求，一项未推进或未完成扣减绩效50元/次，相关工作被公司通报扣减绩效100元/次</w:t>
      </w:r>
      <w:r>
        <w:rPr>
          <w:rFonts w:hint="eastAsia" w:ascii="仿宋_GB2312" w:hAnsi="宋体" w:eastAsia="仿宋_GB2312" w:cs="宋体"/>
          <w:b w:val="0"/>
          <w:bCs w:val="0"/>
          <w:color w:val="000000"/>
          <w:sz w:val="32"/>
          <w:szCs w:val="32"/>
          <w:lang w:val="zh-CN"/>
        </w:rPr>
        <w:t>。</w:t>
      </w:r>
    </w:p>
    <w:p w14:paraId="3E0FA0A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管理人员考评模式</w:t>
      </w:r>
    </w:p>
    <w:p w14:paraId="7893660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考核范围：部门、车间，队级（含副队级）以上管理工作人员。</w:t>
      </w:r>
    </w:p>
    <w:p w14:paraId="49BE3DA9">
      <w:pPr>
        <w:keepNext w:val="0"/>
        <w:keepLines w:val="0"/>
        <w:pageBreakBefore w:val="0"/>
        <w:wordWrap/>
        <w:overflowPunct/>
        <w:topLinePunct w:val="0"/>
        <w:bidi w:val="0"/>
        <w:spacing w:line="520" w:lineRule="exact"/>
        <w:ind w:firstLine="640" w:firstLineChars="200"/>
        <w:rPr>
          <w:rFonts w:hint="default" w:ascii="仿宋_GB2312" w:hAnsi="宋体" w:eastAsia="仿宋_GB2312" w:cs="宋体"/>
          <w:b w:val="0"/>
          <w:bCs w:val="0"/>
          <w:color w:val="000000"/>
          <w:sz w:val="32"/>
          <w:szCs w:val="32"/>
          <w:lang w:val="en-US" w:eastAsia="zh-CN"/>
        </w:rPr>
      </w:pPr>
      <w:r>
        <w:rPr>
          <w:rFonts w:hint="eastAsia" w:ascii="仿宋_GB2312" w:hAnsi="宋体" w:eastAsia="仿宋_GB2312" w:cs="宋体"/>
          <w:b w:val="0"/>
          <w:bCs w:val="0"/>
          <w:color w:val="000000"/>
          <w:sz w:val="32"/>
          <w:szCs w:val="32"/>
        </w:rPr>
        <w:t>考评时间：月度考评一次</w:t>
      </w:r>
    </w:p>
    <w:p w14:paraId="225066D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考评内容：考评细则见《管理人员负单考核内容及评分标准表</w:t>
      </w:r>
      <w:r>
        <w:rPr>
          <w:rFonts w:hint="eastAsia" w:ascii="仿宋_GB2312" w:hAnsi="宋体" w:eastAsia="仿宋_GB2312" w:cs="宋体"/>
          <w:b w:val="0"/>
          <w:bCs w:val="0"/>
          <w:color w:val="000000"/>
          <w:sz w:val="32"/>
          <w:szCs w:val="32"/>
          <w:lang w:eastAsia="zh-CN"/>
        </w:rPr>
        <w:t>》</w:t>
      </w:r>
    </w:p>
    <w:p w14:paraId="08810A4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考评方式：实行百分扣减制考核。其中：安全效果</w:t>
      </w:r>
      <w:r>
        <w:rPr>
          <w:rFonts w:hint="eastAsia" w:ascii="仿宋_GB2312" w:hAnsi="宋体" w:eastAsia="仿宋_GB2312" w:cs="宋体"/>
          <w:b w:val="0"/>
          <w:bCs w:val="0"/>
          <w:color w:val="000000"/>
          <w:sz w:val="32"/>
          <w:szCs w:val="32"/>
          <w:lang w:val="en-US" w:eastAsia="zh-CN"/>
        </w:rPr>
        <w:t>4</w:t>
      </w:r>
      <w:r>
        <w:rPr>
          <w:rFonts w:hint="eastAsia" w:ascii="仿宋_GB2312" w:hAnsi="宋体" w:eastAsia="仿宋_GB2312" w:cs="宋体"/>
          <w:b w:val="0"/>
          <w:bCs w:val="0"/>
          <w:color w:val="000000"/>
          <w:sz w:val="32"/>
          <w:szCs w:val="32"/>
        </w:rPr>
        <w:t>0分、经营管理</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0分、任务完成20分、工作作风20分</w:t>
      </w:r>
    </w:p>
    <w:p w14:paraId="04BF57C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考评依据：由管理人员依据考核项目自行设定考核分值。由各考核</w:t>
      </w:r>
      <w:r>
        <w:rPr>
          <w:rFonts w:hint="eastAsia" w:ascii="仿宋_GB2312" w:hAnsi="宋体" w:eastAsia="仿宋_GB2312" w:cs="宋体"/>
          <w:b w:val="0"/>
          <w:bCs w:val="0"/>
          <w:color w:val="000000"/>
          <w:sz w:val="32"/>
          <w:szCs w:val="32"/>
          <w:lang w:val="en-US" w:eastAsia="zh-CN"/>
        </w:rPr>
        <w:t>主体</w:t>
      </w:r>
      <w:r>
        <w:rPr>
          <w:rFonts w:hint="eastAsia" w:ascii="仿宋_GB2312" w:hAnsi="宋体" w:eastAsia="仿宋_GB2312" w:cs="宋体"/>
          <w:b w:val="0"/>
          <w:bCs w:val="0"/>
          <w:color w:val="000000"/>
          <w:sz w:val="32"/>
          <w:szCs w:val="32"/>
        </w:rPr>
        <w:t>单位报送工作完成及考核情况。考评奖罚：部门（车间）正副职管理人员（副科、正科）经考评月度第一名增加绩效工资</w:t>
      </w:r>
      <w:r>
        <w:rPr>
          <w:rFonts w:hint="eastAsia" w:ascii="仿宋_GB2312" w:hAnsi="宋体" w:eastAsia="仿宋_GB2312" w:cs="宋体"/>
          <w:b w:val="0"/>
          <w:bCs w:val="0"/>
          <w:color w:val="000000"/>
          <w:sz w:val="32"/>
          <w:szCs w:val="32"/>
          <w:lang w:val="en-US" w:eastAsia="zh-CN"/>
        </w:rPr>
        <w:t>600</w:t>
      </w:r>
      <w:r>
        <w:rPr>
          <w:rFonts w:hint="eastAsia" w:ascii="仿宋_GB2312" w:hAnsi="宋体" w:eastAsia="仿宋_GB2312" w:cs="宋体"/>
          <w:b w:val="0"/>
          <w:bCs w:val="0"/>
          <w:color w:val="000000"/>
          <w:sz w:val="32"/>
          <w:szCs w:val="32"/>
        </w:rPr>
        <w:t>元，最后第一名扣减绩效工资</w:t>
      </w:r>
      <w:r>
        <w:rPr>
          <w:rFonts w:hint="eastAsia" w:ascii="仿宋_GB2312" w:hAnsi="宋体" w:eastAsia="仿宋_GB2312" w:cs="宋体"/>
          <w:b w:val="0"/>
          <w:bCs w:val="0"/>
          <w:color w:val="000000"/>
          <w:sz w:val="32"/>
          <w:szCs w:val="32"/>
          <w:lang w:val="en-US" w:eastAsia="zh-CN"/>
        </w:rPr>
        <w:t>300</w:t>
      </w:r>
      <w:r>
        <w:rPr>
          <w:rFonts w:hint="eastAsia" w:ascii="仿宋_GB2312" w:hAnsi="宋体" w:eastAsia="仿宋_GB2312" w:cs="宋体"/>
          <w:b w:val="0"/>
          <w:bCs w:val="0"/>
          <w:color w:val="000000"/>
          <w:sz w:val="32"/>
          <w:szCs w:val="32"/>
        </w:rPr>
        <w:t>元。部门（车间）队级正副职管理人员（副队、队级/主管）经考评月度第一名增加绩效工资</w:t>
      </w:r>
      <w:r>
        <w:rPr>
          <w:rFonts w:hint="eastAsia" w:ascii="仿宋_GB2312" w:hAnsi="宋体" w:eastAsia="仿宋_GB2312" w:cs="宋体"/>
          <w:b w:val="0"/>
          <w:bCs w:val="0"/>
          <w:color w:val="000000"/>
          <w:sz w:val="32"/>
          <w:szCs w:val="32"/>
          <w:lang w:val="en-US" w:eastAsia="zh-CN"/>
        </w:rPr>
        <w:t>300</w:t>
      </w:r>
      <w:r>
        <w:rPr>
          <w:rFonts w:hint="eastAsia" w:ascii="仿宋_GB2312" w:hAnsi="宋体" w:eastAsia="仿宋_GB2312" w:cs="宋体"/>
          <w:b w:val="0"/>
          <w:bCs w:val="0"/>
          <w:color w:val="000000"/>
          <w:sz w:val="32"/>
          <w:szCs w:val="32"/>
        </w:rPr>
        <w:t>元，最后第一名扣减绩效工资</w:t>
      </w:r>
      <w:r>
        <w:rPr>
          <w:rFonts w:hint="eastAsia" w:ascii="仿宋_GB2312" w:hAnsi="宋体" w:eastAsia="仿宋_GB2312" w:cs="宋体"/>
          <w:b w:val="0"/>
          <w:bCs w:val="0"/>
          <w:color w:val="000000"/>
          <w:sz w:val="32"/>
          <w:szCs w:val="32"/>
          <w:lang w:val="en-US" w:eastAsia="zh-CN"/>
        </w:rPr>
        <w:t>150</w:t>
      </w:r>
      <w:r>
        <w:rPr>
          <w:rFonts w:hint="eastAsia" w:ascii="仿宋_GB2312" w:hAnsi="宋体" w:eastAsia="仿宋_GB2312" w:cs="宋体"/>
          <w:b w:val="0"/>
          <w:bCs w:val="0"/>
          <w:color w:val="000000"/>
          <w:sz w:val="32"/>
          <w:szCs w:val="32"/>
        </w:rPr>
        <w:t>元。</w:t>
      </w:r>
    </w:p>
    <w:p w14:paraId="5F2E6588">
      <w:pPr>
        <w:keepNext w:val="0"/>
        <w:keepLines w:val="0"/>
        <w:pageBreakBefore w:val="0"/>
        <w:wordWrap/>
        <w:overflowPunct/>
        <w:topLinePunct w:val="0"/>
        <w:bidi w:val="0"/>
        <w:spacing w:line="520" w:lineRule="exact"/>
        <w:ind w:firstLine="640" w:firstLineChars="200"/>
        <w:rPr>
          <w:rFonts w:hint="default" w:ascii="仿宋_GB2312" w:hAnsi="宋体" w:eastAsia="仿宋_GB2312" w:cs="宋体"/>
          <w:b w:val="0"/>
          <w:bCs w:val="0"/>
          <w:color w:val="000000"/>
          <w:sz w:val="32"/>
          <w:szCs w:val="32"/>
          <w:lang w:val="en-US" w:eastAsia="zh-CN"/>
        </w:rPr>
      </w:pPr>
      <w:r>
        <w:rPr>
          <w:rFonts w:hint="eastAsia" w:ascii="仿宋_GB2312" w:hAnsi="宋体" w:eastAsia="仿宋_GB2312" w:cs="宋体"/>
          <w:b w:val="0"/>
          <w:bCs w:val="0"/>
          <w:color w:val="000000"/>
          <w:sz w:val="32"/>
          <w:szCs w:val="32"/>
          <w:lang w:val="en-US" w:eastAsia="zh-CN"/>
        </w:rPr>
        <w:t>考评结果由</w:t>
      </w:r>
      <w:r>
        <w:rPr>
          <w:rFonts w:hint="eastAsia" w:ascii="仿宋_GB2312" w:hAnsi="宋体" w:eastAsia="仿宋_GB2312" w:cs="宋体"/>
          <w:b w:val="0"/>
          <w:bCs w:val="0"/>
          <w:color w:val="000000"/>
          <w:sz w:val="32"/>
          <w:szCs w:val="32"/>
        </w:rPr>
        <w:t>二级考核主体</w:t>
      </w:r>
      <w:r>
        <w:rPr>
          <w:rFonts w:hint="eastAsia" w:ascii="仿宋_GB2312" w:hAnsi="宋体" w:eastAsia="仿宋_GB2312" w:cs="宋体"/>
          <w:b w:val="0"/>
          <w:bCs w:val="0"/>
          <w:color w:val="000000"/>
          <w:sz w:val="32"/>
          <w:szCs w:val="32"/>
          <w:lang w:val="en-US" w:eastAsia="zh-CN"/>
        </w:rPr>
        <w:t>纳入部门绩效考核管理制度中落实、执行，</w:t>
      </w:r>
      <w:r>
        <w:rPr>
          <w:rFonts w:hint="eastAsia" w:ascii="仿宋_GB2312" w:hAnsi="宋体" w:eastAsia="仿宋_GB2312" w:cs="宋体"/>
          <w:b w:val="0"/>
          <w:bCs w:val="0"/>
          <w:color w:val="000000"/>
          <w:sz w:val="32"/>
          <w:szCs w:val="32"/>
        </w:rPr>
        <w:t>二级考核主体</w:t>
      </w:r>
      <w:r>
        <w:rPr>
          <w:rFonts w:hint="eastAsia" w:ascii="仿宋_GB2312" w:hAnsi="宋体" w:eastAsia="仿宋_GB2312" w:cs="宋体"/>
          <w:b w:val="0"/>
          <w:bCs w:val="0"/>
          <w:color w:val="000000"/>
          <w:sz w:val="32"/>
          <w:szCs w:val="32"/>
          <w:lang w:val="en-US" w:eastAsia="zh-CN"/>
        </w:rPr>
        <w:t>对车间管理人员要横向比较、分析原因。</w:t>
      </w:r>
    </w:p>
    <w:p w14:paraId="443DABF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注：正副班长和享受正副班长级别人员</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由车间制定</w:t>
      </w:r>
      <w:r>
        <w:rPr>
          <w:rFonts w:hint="eastAsia" w:ascii="仿宋_GB2312" w:hAnsi="宋体" w:eastAsia="仿宋_GB2312" w:cs="宋体"/>
          <w:b w:val="0"/>
          <w:bCs w:val="0"/>
          <w:color w:val="000000"/>
          <w:sz w:val="32"/>
          <w:szCs w:val="32"/>
          <w:lang w:val="en-US" w:eastAsia="zh-CN"/>
        </w:rPr>
        <w:t>班组</w:t>
      </w:r>
      <w:r>
        <w:rPr>
          <w:rFonts w:hint="eastAsia" w:ascii="仿宋_GB2312" w:hAnsi="宋体" w:eastAsia="仿宋_GB2312" w:cs="宋体"/>
          <w:b w:val="0"/>
          <w:bCs w:val="0"/>
          <w:color w:val="000000"/>
          <w:sz w:val="32"/>
          <w:szCs w:val="32"/>
        </w:rPr>
        <w:t>考核模式。</w:t>
      </w:r>
    </w:p>
    <w:p w14:paraId="0CFC1FA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一</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经营主体考评模式</w:t>
      </w:r>
    </w:p>
    <w:p w14:paraId="3F57A84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考核范围：公司九个部门（纪委不纳入考核）、九个车间</w:t>
      </w:r>
    </w:p>
    <w:p w14:paraId="20DF9EB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考评时间：每季度考评一次</w:t>
      </w:r>
    </w:p>
    <w:p w14:paraId="3DD95E3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考评内容：考评细则见《部门（车间）业绩考核内容及考核责任表》。</w:t>
      </w:r>
    </w:p>
    <w:p w14:paraId="56FFA47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考评方式：实行百分制考核。其中：安全效果占比</w:t>
      </w:r>
      <w:r>
        <w:rPr>
          <w:rFonts w:hint="eastAsia" w:ascii="仿宋_GB2312" w:hAnsi="宋体" w:eastAsia="仿宋_GB2312" w:cs="宋体"/>
          <w:b w:val="0"/>
          <w:bCs w:val="0"/>
          <w:color w:val="000000"/>
          <w:sz w:val="32"/>
          <w:szCs w:val="32"/>
          <w:lang w:val="en-US" w:eastAsia="zh-CN"/>
        </w:rPr>
        <w:t>4</w:t>
      </w:r>
      <w:r>
        <w:rPr>
          <w:rFonts w:hint="eastAsia" w:ascii="仿宋_GB2312" w:hAnsi="宋体" w:eastAsia="仿宋_GB2312" w:cs="宋体"/>
          <w:b w:val="0"/>
          <w:bCs w:val="0"/>
          <w:color w:val="000000"/>
          <w:sz w:val="32"/>
          <w:szCs w:val="32"/>
        </w:rPr>
        <w:t>0%、经营管理占比</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0%、任务完成占比20%、工作作风占比20%</w:t>
      </w:r>
    </w:p>
    <w:p w14:paraId="28545BB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考评依据：由各管理单位报送工作完成及考核情况，对各单位工作运行情况进行考评。</w:t>
      </w:r>
    </w:p>
    <w:p w14:paraId="474E6A9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考评奖罚：每季度考评一次，</w:t>
      </w:r>
      <w:r>
        <w:rPr>
          <w:rFonts w:hint="eastAsia" w:ascii="仿宋_GB2312" w:hAnsi="宋体" w:eastAsia="仿宋_GB2312" w:cs="宋体"/>
          <w:b w:val="0"/>
          <w:bCs w:val="0"/>
          <w:color w:val="000000"/>
          <w:sz w:val="32"/>
          <w:szCs w:val="32"/>
          <w:lang w:val="zh-CN"/>
        </w:rPr>
        <w:t>考</w:t>
      </w:r>
      <w:r>
        <w:rPr>
          <w:rFonts w:hint="eastAsia" w:ascii="仿宋_GB2312" w:hAnsi="宋体" w:eastAsia="仿宋_GB2312" w:cs="宋体"/>
          <w:b w:val="0"/>
          <w:bCs w:val="0"/>
          <w:color w:val="000000"/>
          <w:sz w:val="32"/>
          <w:szCs w:val="32"/>
        </w:rPr>
        <w:t>评</w:t>
      </w:r>
      <w:r>
        <w:rPr>
          <w:rFonts w:hint="eastAsia" w:ascii="仿宋_GB2312" w:hAnsi="宋体" w:eastAsia="仿宋_GB2312" w:cs="宋体"/>
          <w:b w:val="0"/>
          <w:bCs w:val="0"/>
          <w:color w:val="000000"/>
          <w:sz w:val="32"/>
          <w:szCs w:val="32"/>
          <w:lang w:val="zh-CN"/>
        </w:rPr>
        <w:t>第一名</w:t>
      </w:r>
      <w:r>
        <w:rPr>
          <w:rFonts w:hint="eastAsia" w:ascii="仿宋_GB2312" w:hAnsi="宋体" w:eastAsia="仿宋_GB2312" w:cs="宋体"/>
          <w:b w:val="0"/>
          <w:bCs w:val="0"/>
          <w:color w:val="000000"/>
          <w:sz w:val="32"/>
          <w:szCs w:val="32"/>
        </w:rPr>
        <w:t>增加该单位绩效工资2</w:t>
      </w:r>
      <w:r>
        <w:rPr>
          <w:rFonts w:hint="eastAsia" w:ascii="仿宋_GB2312" w:hAnsi="宋体" w:eastAsia="仿宋_GB2312" w:cs="宋体"/>
          <w:b w:val="0"/>
          <w:bCs w:val="0"/>
          <w:color w:val="000000"/>
          <w:sz w:val="32"/>
          <w:szCs w:val="32"/>
          <w:lang w:val="zh-CN"/>
        </w:rPr>
        <w:t>000元，</w:t>
      </w:r>
      <w:r>
        <w:rPr>
          <w:rFonts w:hint="eastAsia" w:ascii="仿宋_GB2312" w:hAnsi="宋体" w:eastAsia="仿宋_GB2312" w:cs="宋体"/>
          <w:b w:val="0"/>
          <w:bCs w:val="0"/>
          <w:color w:val="000000"/>
          <w:sz w:val="32"/>
          <w:szCs w:val="32"/>
        </w:rPr>
        <w:t>最后第一名扣减该单位绩效工资1000元。</w:t>
      </w:r>
    </w:p>
    <w:p w14:paraId="265B31A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注：二级考核主体，由部门对车间计件单位执行考核并制定考核办法；三级考核主体，由车间对班组计件单位执行考核并制定考核办法。机关部室对员工</w:t>
      </w:r>
      <w:r>
        <w:rPr>
          <w:rFonts w:hint="eastAsia" w:ascii="仿宋_GB2312" w:hAnsi="宋体" w:eastAsia="仿宋_GB2312" w:cs="宋体"/>
          <w:b w:val="0"/>
          <w:bCs w:val="0"/>
          <w:color w:val="000000"/>
          <w:sz w:val="32"/>
          <w:szCs w:val="32"/>
          <w:lang w:eastAsia="zh-CN"/>
        </w:rPr>
        <w:t>进行</w:t>
      </w:r>
      <w:r>
        <w:rPr>
          <w:rFonts w:hint="eastAsia" w:ascii="仿宋_GB2312" w:hAnsi="宋体" w:eastAsia="仿宋_GB2312" w:cs="宋体"/>
          <w:b w:val="0"/>
          <w:bCs w:val="0"/>
          <w:color w:val="000000"/>
          <w:sz w:val="32"/>
          <w:szCs w:val="32"/>
        </w:rPr>
        <w:t>考核并制定考核办法。以上二三级考核主体办法及落实情况，将纳入经营考评范畴。</w:t>
      </w:r>
    </w:p>
    <w:p w14:paraId="138C28D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公司督查办不定期组织人力资源部（党群部）、经管物资部、部分单位经营核算人员等组成检查组</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监督二、三级主体制度落实情况。检查人员不服从安排，并扣减个人绩效</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00元。</w:t>
      </w:r>
    </w:p>
    <w:p w14:paraId="2841359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二</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内部经营管控指标：由经管物资部和财务部牵头，安全效果：由安全监管部牵头（包括现场标准化、安全环保、三违等），持续推进科技创新由生产技术部牵头（包括安全经济一体化、劳模工作室、合理化建议及技改技措等），任务完成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牵头，作风督导由督查办牵头。</w:t>
      </w:r>
    </w:p>
    <w:p w14:paraId="551A3E5C">
      <w:pPr>
        <w:keepNext w:val="0"/>
        <w:keepLines w:val="0"/>
        <w:pageBreakBefore w:val="0"/>
        <w:wordWrap/>
        <w:overflowPunct/>
        <w:topLinePunct w:val="0"/>
        <w:bidi w:val="0"/>
        <w:spacing w:line="520" w:lineRule="exact"/>
        <w:jc w:val="center"/>
        <w:rPr>
          <w:rFonts w:hint="eastAsia" w:ascii="黑体" w:hAnsi="黑体" w:eastAsia="黑体" w:cs="宋体"/>
          <w:color w:val="000000"/>
          <w:sz w:val="32"/>
          <w:szCs w:val="32"/>
        </w:rPr>
      </w:pPr>
    </w:p>
    <w:p w14:paraId="5E61AB58">
      <w:pPr>
        <w:keepNext w:val="0"/>
        <w:keepLines w:val="0"/>
        <w:pageBreakBefore w:val="0"/>
        <w:wordWrap/>
        <w:overflowPunct/>
        <w:topLinePunct w:val="0"/>
        <w:bidi w:val="0"/>
        <w:spacing w:line="520" w:lineRule="exact"/>
        <w:jc w:val="center"/>
        <w:rPr>
          <w:rFonts w:hint="eastAsia" w:ascii="黑体" w:hAnsi="黑体" w:eastAsia="黑体" w:cs="黑体"/>
          <w:b w:val="0"/>
          <w:bCs w:val="0"/>
          <w:color w:val="000000"/>
          <w:sz w:val="32"/>
          <w:szCs w:val="32"/>
          <w:lang w:val="zh-CN"/>
        </w:rPr>
      </w:pPr>
      <w:r>
        <w:rPr>
          <w:rFonts w:hint="eastAsia" w:ascii="黑体" w:hAnsi="黑体" w:eastAsia="黑体" w:cs="黑体"/>
          <w:b w:val="0"/>
          <w:bCs w:val="0"/>
          <w:color w:val="000000"/>
          <w:sz w:val="32"/>
          <w:szCs w:val="32"/>
        </w:rPr>
        <w:t>第三章</w:t>
      </w:r>
      <w:r>
        <w:rPr>
          <w:rFonts w:hint="eastAsia" w:ascii="黑体" w:hAnsi="黑体" w:eastAsia="黑体" w:cs="黑体"/>
          <w:b w:val="0"/>
          <w:bCs w:val="0"/>
          <w:color w:val="000000"/>
          <w:sz w:val="32"/>
          <w:szCs w:val="32"/>
          <w:lang w:val="en-US" w:eastAsia="zh-CN"/>
        </w:rPr>
        <w:t xml:space="preserve"> </w:t>
      </w:r>
      <w:r>
        <w:rPr>
          <w:rFonts w:hint="eastAsia" w:ascii="黑体" w:hAnsi="黑体" w:eastAsia="黑体" w:cs="黑体"/>
          <w:b w:val="0"/>
          <w:bCs w:val="0"/>
          <w:color w:val="000000"/>
          <w:sz w:val="32"/>
          <w:szCs w:val="32"/>
        </w:rPr>
        <w:t>经营考核指标</w:t>
      </w:r>
    </w:p>
    <w:p w14:paraId="63F744F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三</w:t>
      </w:r>
      <w:r>
        <w:rPr>
          <w:rFonts w:hint="eastAsia" w:ascii="仿宋_GB2312" w:hAnsi="宋体" w:eastAsia="仿宋_GB2312" w:cs="宋体"/>
          <w:b w:val="0"/>
          <w:bCs w:val="0"/>
          <w:color w:val="000000"/>
          <w:sz w:val="32"/>
          <w:szCs w:val="32"/>
        </w:rPr>
        <w:t>条 公司考核围绕</w:t>
      </w:r>
      <w:r>
        <w:rPr>
          <w:rFonts w:hint="eastAsia" w:ascii="仿宋_GB2312" w:hAnsi="宋体" w:eastAsia="仿宋_GB2312" w:cs="宋体"/>
          <w:b w:val="0"/>
          <w:bCs w:val="0"/>
          <w:color w:val="000000"/>
          <w:sz w:val="32"/>
          <w:szCs w:val="32"/>
        </w:rPr>
        <w:fldChar w:fldCharType="begin"/>
      </w:r>
      <w:r>
        <w:rPr>
          <w:rFonts w:hint="eastAsia" w:ascii="仿宋_GB2312" w:hAnsi="宋体" w:eastAsia="仿宋_GB2312" w:cs="宋体"/>
          <w:b w:val="0"/>
          <w:bCs w:val="0"/>
          <w:color w:val="000000"/>
          <w:sz w:val="32"/>
          <w:szCs w:val="32"/>
        </w:rPr>
        <w:instrText xml:space="preserve"> HYPERLINK "http://www.mkaq.org/" \t "_blank" \o "煤矿安全网" </w:instrText>
      </w:r>
      <w:r>
        <w:rPr>
          <w:rFonts w:hint="eastAsia" w:ascii="仿宋_GB2312" w:hAnsi="宋体" w:eastAsia="仿宋_GB2312" w:cs="宋体"/>
          <w:b w:val="0"/>
          <w:bCs w:val="0"/>
          <w:color w:val="000000"/>
          <w:sz w:val="32"/>
          <w:szCs w:val="32"/>
        </w:rPr>
        <w:fldChar w:fldCharType="separate"/>
      </w:r>
      <w:r>
        <w:rPr>
          <w:rFonts w:hint="eastAsia" w:ascii="仿宋_GB2312" w:hAnsi="宋体" w:eastAsia="仿宋_GB2312" w:cs="宋体"/>
          <w:b w:val="0"/>
          <w:bCs w:val="0"/>
          <w:color w:val="000000"/>
          <w:sz w:val="32"/>
          <w:szCs w:val="32"/>
        </w:rPr>
        <w:t>安全</w:t>
      </w:r>
      <w:r>
        <w:rPr>
          <w:rFonts w:hint="eastAsia" w:ascii="仿宋_GB2312" w:hAnsi="宋体" w:eastAsia="仿宋_GB2312" w:cs="宋体"/>
          <w:b w:val="0"/>
          <w:bCs w:val="0"/>
          <w:color w:val="000000"/>
          <w:sz w:val="32"/>
          <w:szCs w:val="32"/>
        </w:rPr>
        <w:fldChar w:fldCharType="end"/>
      </w:r>
      <w:r>
        <w:rPr>
          <w:rFonts w:hint="eastAsia" w:ascii="仿宋_GB2312" w:hAnsi="宋体" w:eastAsia="仿宋_GB2312" w:cs="宋体"/>
          <w:b w:val="0"/>
          <w:bCs w:val="0"/>
          <w:color w:val="000000"/>
          <w:sz w:val="32"/>
          <w:szCs w:val="32"/>
        </w:rPr>
        <w:t>生产长周期、成本</w:t>
      </w:r>
      <w:r>
        <w:rPr>
          <w:rFonts w:hint="eastAsia" w:ascii="仿宋_GB2312" w:hAnsi="宋体" w:eastAsia="仿宋_GB2312" w:cs="宋体"/>
          <w:b w:val="0"/>
          <w:bCs w:val="0"/>
          <w:color w:val="000000"/>
          <w:sz w:val="32"/>
          <w:szCs w:val="32"/>
        </w:rPr>
        <w:fldChar w:fldCharType="begin"/>
      </w:r>
      <w:r>
        <w:rPr>
          <w:rFonts w:hint="eastAsia" w:ascii="仿宋_GB2312" w:hAnsi="宋体" w:eastAsia="仿宋_GB2312" w:cs="宋体"/>
          <w:b w:val="0"/>
          <w:bCs w:val="0"/>
          <w:color w:val="000000"/>
          <w:sz w:val="32"/>
          <w:szCs w:val="32"/>
        </w:rPr>
        <w:instrText xml:space="preserve"> HYPERLINK "http://www.mkaq.org/mkgl/" \t "_blank" \o "煤矿管理" </w:instrText>
      </w:r>
      <w:r>
        <w:rPr>
          <w:rFonts w:hint="eastAsia" w:ascii="仿宋_GB2312" w:hAnsi="宋体" w:eastAsia="仿宋_GB2312" w:cs="宋体"/>
          <w:b w:val="0"/>
          <w:bCs w:val="0"/>
          <w:color w:val="000000"/>
          <w:sz w:val="32"/>
          <w:szCs w:val="32"/>
        </w:rPr>
        <w:fldChar w:fldCharType="separate"/>
      </w:r>
      <w:r>
        <w:rPr>
          <w:rFonts w:hint="eastAsia" w:ascii="仿宋_GB2312" w:hAnsi="宋体" w:eastAsia="仿宋_GB2312" w:cs="宋体"/>
          <w:b w:val="0"/>
          <w:bCs w:val="0"/>
          <w:color w:val="000000"/>
          <w:sz w:val="32"/>
          <w:szCs w:val="32"/>
        </w:rPr>
        <w:t>控制</w:t>
      </w:r>
      <w:r>
        <w:rPr>
          <w:rFonts w:hint="eastAsia" w:ascii="仿宋_GB2312" w:hAnsi="宋体" w:eastAsia="仿宋_GB2312" w:cs="宋体"/>
          <w:b w:val="0"/>
          <w:bCs w:val="0"/>
          <w:color w:val="000000"/>
          <w:sz w:val="32"/>
          <w:szCs w:val="32"/>
        </w:rPr>
        <w:fldChar w:fldCharType="end"/>
      </w:r>
      <w:r>
        <w:rPr>
          <w:rFonts w:hint="eastAsia" w:ascii="仿宋_GB2312" w:hAnsi="宋体" w:eastAsia="仿宋_GB2312" w:cs="宋体"/>
          <w:b w:val="0"/>
          <w:bCs w:val="0"/>
          <w:color w:val="000000"/>
          <w:sz w:val="32"/>
          <w:szCs w:val="32"/>
        </w:rPr>
        <w:t>、技改技措、质量管理、提质增效、修旧利废、工作作风等重点工作，持续深化“考评机制+指标考核+责任考核”运行模式，夯实运作基础。</w:t>
      </w:r>
    </w:p>
    <w:p w14:paraId="40E0F14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四</w:t>
      </w:r>
      <w:r>
        <w:rPr>
          <w:rFonts w:hint="eastAsia" w:ascii="仿宋_GB2312" w:hAnsi="宋体" w:eastAsia="仿宋_GB2312" w:cs="宋体"/>
          <w:b w:val="0"/>
          <w:bCs w:val="0"/>
          <w:color w:val="000000"/>
          <w:sz w:val="32"/>
          <w:szCs w:val="32"/>
        </w:rPr>
        <w:t>条 联责考核共性指标</w:t>
      </w:r>
    </w:p>
    <w:p w14:paraId="10958BE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（一）利润。</w:t>
      </w:r>
      <w:r>
        <w:rPr>
          <w:rFonts w:hint="eastAsia" w:ascii="仿宋_GB2312" w:hAnsi="宋体" w:eastAsia="仿宋_GB2312" w:cs="宋体"/>
          <w:b w:val="0"/>
          <w:bCs w:val="0"/>
          <w:color w:val="000000"/>
          <w:sz w:val="32"/>
          <w:szCs w:val="32"/>
        </w:rPr>
        <w:t>（当期预算利润－当期实际报表利润）×节约增加绩效0.1%或超支扣绩效0.05%。利润对职责部门进行考核。</w:t>
      </w:r>
    </w:p>
    <w:p w14:paraId="54243B6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生产技术部占比57%、设备管理部占比15.52%，</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占比10.69%，安全监管部占比5.6%、销售采购部占比2.29%、经管物资部占比2.80%、财务部占比1.27%、人力资源部占比1.53%、综合部2.8%、纪委部占比0.5</w:t>
      </w:r>
      <w:r>
        <w:rPr>
          <w:rFonts w:hint="eastAsia" w:ascii="仿宋_GB2312" w:hAnsi="宋体" w:eastAsia="仿宋_GB2312" w:cs="宋体"/>
          <w:b w:val="0"/>
          <w:bCs w:val="0"/>
          <w:color w:val="000000"/>
          <w:sz w:val="32"/>
          <w:szCs w:val="32"/>
          <w:lang w:val="en-US" w:eastAsia="zh-CN"/>
        </w:rPr>
        <w:t>0</w:t>
      </w:r>
      <w:r>
        <w:rPr>
          <w:rFonts w:hint="eastAsia" w:ascii="仿宋_GB2312" w:hAnsi="宋体" w:eastAsia="仿宋_GB2312" w:cs="宋体"/>
          <w:b w:val="0"/>
          <w:bCs w:val="0"/>
          <w:color w:val="000000"/>
          <w:sz w:val="32"/>
          <w:szCs w:val="32"/>
        </w:rPr>
        <w:t>%。</w:t>
      </w:r>
    </w:p>
    <w:p w14:paraId="0D090577">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（二）精甲醇产量。</w:t>
      </w:r>
    </w:p>
    <w:p w14:paraId="2E236E8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以单位人员预算绩效工资总额9%/全年计划产量=收购单价</w:t>
      </w:r>
    </w:p>
    <w:p w14:paraId="2054627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生产技术部1.4106元/吨，设备管理部0.4733元/吨，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0.2794元/吨，安全监管部0.1020元/吨，销售采购部0.0578元/吨，经管物资部0.0667元/吨，财务部0.0353元/吨，人力资源部0.0819元/吨，综合部0.0764元/吨，纪委部0.0179元/吨。</w:t>
      </w:r>
    </w:p>
    <w:p w14:paraId="60529A9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考核依据：单价×吨甲醇月度超（亏）产量。</w:t>
      </w:r>
    </w:p>
    <w:p w14:paraId="5C017C8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十</w:t>
      </w:r>
      <w:r>
        <w:rPr>
          <w:rFonts w:hint="eastAsia" w:ascii="仿宋_GB2312" w:hAnsi="宋体" w:eastAsia="仿宋_GB2312" w:cs="宋体"/>
          <w:b w:val="0"/>
          <w:bCs w:val="0"/>
          <w:color w:val="000000"/>
          <w:sz w:val="32"/>
          <w:szCs w:val="32"/>
          <w:lang w:val="en-US" w:eastAsia="zh-CN"/>
        </w:rPr>
        <w:t>五</w:t>
      </w:r>
      <w:r>
        <w:rPr>
          <w:rFonts w:hint="eastAsia" w:ascii="仿宋_GB2312" w:hAnsi="宋体" w:eastAsia="仿宋_GB2312" w:cs="宋体"/>
          <w:b w:val="0"/>
          <w:bCs w:val="0"/>
          <w:color w:val="000000"/>
          <w:sz w:val="32"/>
          <w:szCs w:val="32"/>
        </w:rPr>
        <w:t>条 中间产品考核指标</w:t>
      </w:r>
    </w:p>
    <w:p w14:paraId="133CABF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eastAsia="zh-CN"/>
        </w:rPr>
      </w:pPr>
      <w:r>
        <w:rPr>
          <w:rFonts w:hint="eastAsia" w:ascii="楷体_GB2312" w:hAnsi="楷体_GB2312" w:eastAsia="楷体_GB2312" w:cs="楷体_GB2312"/>
          <w:b w:val="0"/>
          <w:bCs w:val="0"/>
          <w:color w:val="000000"/>
          <w:sz w:val="32"/>
          <w:szCs w:val="32"/>
        </w:rPr>
        <w:t>（一）蒸汽量。</w:t>
      </w:r>
      <w:r>
        <w:rPr>
          <w:rFonts w:hint="eastAsia" w:ascii="仿宋_GB2312" w:hAnsi="宋体" w:eastAsia="仿宋_GB2312" w:cs="宋体"/>
          <w:b w:val="0"/>
          <w:bCs w:val="0"/>
          <w:color w:val="000000"/>
          <w:sz w:val="32"/>
          <w:szCs w:val="32"/>
        </w:rPr>
        <w:t>把控动力煤消耗量提高产蒸汽量，月度吨动力煤（4300</w:t>
      </w:r>
      <w:r>
        <w:rPr>
          <w:rFonts w:hint="eastAsia" w:ascii="仿宋_GB2312" w:hAnsi="宋体" w:eastAsia="仿宋_GB2312" w:cs="宋体"/>
          <w:b w:val="0"/>
          <w:bCs w:val="0"/>
          <w:color w:val="000000"/>
          <w:sz w:val="32"/>
          <w:szCs w:val="32"/>
          <w:lang w:val="en-US" w:eastAsia="zh-CN"/>
        </w:rPr>
        <w:t>大卡</w:t>
      </w:r>
      <w:r>
        <w:rPr>
          <w:rFonts w:hint="eastAsia" w:ascii="仿宋_GB2312" w:hAnsi="宋体" w:eastAsia="仿宋_GB2312" w:cs="宋体"/>
          <w:b w:val="0"/>
          <w:bCs w:val="0"/>
          <w:color w:val="000000"/>
          <w:sz w:val="32"/>
          <w:szCs w:val="32"/>
        </w:rPr>
        <w:t>）产蒸汽</w:t>
      </w:r>
      <w:r>
        <w:rPr>
          <w:rFonts w:hint="eastAsia" w:ascii="仿宋_GB2312" w:hAnsi="宋体" w:eastAsia="仿宋_GB2312" w:cs="宋体"/>
          <w:b w:val="0"/>
          <w:bCs w:val="0"/>
          <w:color w:val="000000"/>
          <w:sz w:val="32"/>
          <w:szCs w:val="32"/>
          <w:lang w:val="en-US" w:eastAsia="zh-CN"/>
        </w:rPr>
        <w:t>量</w:t>
      </w:r>
      <w:r>
        <w:rPr>
          <w:rFonts w:hint="eastAsia" w:ascii="仿宋_GB2312" w:hAnsi="宋体" w:eastAsia="仿宋_GB2312" w:cs="宋体"/>
          <w:b w:val="0"/>
          <w:bCs w:val="0"/>
          <w:color w:val="000000"/>
          <w:sz w:val="32"/>
          <w:szCs w:val="32"/>
        </w:rPr>
        <w:t>不低于</w:t>
      </w:r>
      <w:r>
        <w:rPr>
          <w:rFonts w:hint="eastAsia" w:ascii="仿宋_GB2312" w:hAnsi="宋体" w:eastAsia="仿宋_GB2312" w:cs="宋体"/>
          <w:b w:val="0"/>
          <w:bCs w:val="0"/>
          <w:color w:val="000000"/>
          <w:sz w:val="32"/>
          <w:szCs w:val="32"/>
          <w:lang w:val="en-US" w:eastAsia="zh-CN"/>
        </w:rPr>
        <w:t>5.90吨（其中</w:t>
      </w:r>
      <w:r>
        <w:rPr>
          <w:rFonts w:hint="eastAsia" w:ascii="仿宋_GB2312" w:hAnsi="宋体" w:eastAsia="仿宋_GB2312" w:cs="宋体"/>
          <w:b w:val="0"/>
          <w:bCs w:val="0"/>
          <w:color w:val="000000"/>
          <w:sz w:val="32"/>
          <w:szCs w:val="32"/>
        </w:rPr>
        <w:t>10月-4月按5.8</w:t>
      </w:r>
      <w:r>
        <w:rPr>
          <w:rFonts w:hint="eastAsia" w:ascii="仿宋_GB2312" w:hAnsi="宋体" w:eastAsia="仿宋_GB2312" w:cs="宋体"/>
          <w:b w:val="0"/>
          <w:bCs w:val="0"/>
          <w:color w:val="000000"/>
          <w:sz w:val="32"/>
          <w:szCs w:val="32"/>
          <w:lang w:val="en-US" w:eastAsia="zh-CN"/>
        </w:rPr>
        <w:t>0</w:t>
      </w:r>
      <w:r>
        <w:rPr>
          <w:rFonts w:hint="eastAsia" w:ascii="仿宋_GB2312" w:hAnsi="宋体" w:eastAsia="仿宋_GB2312" w:cs="宋体"/>
          <w:b w:val="0"/>
          <w:bCs w:val="0"/>
          <w:color w:val="000000"/>
          <w:sz w:val="32"/>
          <w:szCs w:val="32"/>
        </w:rPr>
        <w:t>，5</w:t>
      </w:r>
      <w:r>
        <w:rPr>
          <w:rFonts w:hint="eastAsia" w:ascii="仿宋_GB2312" w:hAnsi="宋体" w:eastAsia="仿宋_GB2312" w:cs="宋体"/>
          <w:b w:val="0"/>
          <w:bCs w:val="0"/>
          <w:color w:val="000000"/>
          <w:sz w:val="32"/>
          <w:szCs w:val="32"/>
          <w:lang w:val="en-US" w:eastAsia="zh-CN"/>
        </w:rPr>
        <w:t>月</w:t>
      </w:r>
      <w:r>
        <w:rPr>
          <w:rFonts w:hint="eastAsia" w:ascii="仿宋_GB2312" w:hAnsi="宋体" w:eastAsia="仿宋_GB2312" w:cs="宋体"/>
          <w:b w:val="0"/>
          <w:bCs w:val="0"/>
          <w:color w:val="000000"/>
          <w:sz w:val="32"/>
          <w:szCs w:val="32"/>
        </w:rPr>
        <w:t>-9月按6.0</w:t>
      </w:r>
      <w:r>
        <w:rPr>
          <w:rFonts w:hint="eastAsia" w:ascii="仿宋_GB2312" w:hAnsi="宋体" w:eastAsia="仿宋_GB2312" w:cs="宋体"/>
          <w:b w:val="0"/>
          <w:bCs w:val="0"/>
          <w:color w:val="000000"/>
          <w:sz w:val="32"/>
          <w:szCs w:val="32"/>
          <w:lang w:eastAsia="zh-CN"/>
        </w:rPr>
        <w:t>）</w:t>
      </w:r>
    </w:p>
    <w:p w14:paraId="1709959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动力车间为责任单位，考核依据：（当月动力煤考核计划量－实际消耗动力煤量）×当月动力煤平均价（不含税）×（节约动力煤增加0.5%或未完成扣0.25%）</w:t>
      </w:r>
    </w:p>
    <w:p w14:paraId="660B2CE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（二）氧气量。</w:t>
      </w:r>
      <w:r>
        <w:rPr>
          <w:rFonts w:hint="eastAsia" w:ascii="仿宋_GB2312" w:hAnsi="宋体" w:eastAsia="仿宋_GB2312" w:cs="宋体"/>
          <w:b w:val="0"/>
          <w:bCs w:val="0"/>
          <w:color w:val="000000"/>
          <w:sz w:val="32"/>
          <w:szCs w:val="32"/>
        </w:rPr>
        <w:t>空分送氧气量及时调整装置负荷达到蒸汽消耗最低的目的，低于每千NM3制氧耗用蒸汽量3.05</w:t>
      </w:r>
    </w:p>
    <w:p w14:paraId="55C5730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空分车间为责任单位，考核依据：月度实际制氧量×每千Nm³制氧耗用蒸汽量3.05－实际消耗蒸汽量）×蒸汽售价95元/吨（内部考核不含税价）×（完成增加0.5%或未完成扣0.25%）</w:t>
      </w:r>
    </w:p>
    <w:p w14:paraId="0F848CC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（三）净化气量。</w:t>
      </w:r>
      <w:r>
        <w:rPr>
          <w:rFonts w:hint="eastAsia" w:ascii="仿宋_GB2312" w:hAnsi="宋体" w:eastAsia="仿宋_GB2312" w:cs="宋体"/>
          <w:b w:val="0"/>
          <w:bCs w:val="0"/>
          <w:color w:val="000000"/>
          <w:sz w:val="32"/>
          <w:szCs w:val="32"/>
        </w:rPr>
        <w:t>调整氢碳比控制范围，降低吨甲醇净化气消耗。甲醇耗用净化气量基准v 值低于24</w:t>
      </w:r>
      <w:r>
        <w:rPr>
          <w:rFonts w:hint="eastAsia" w:ascii="仿宋_GB2312" w:hAnsi="宋体" w:eastAsia="仿宋_GB2312" w:cs="宋体"/>
          <w:b w:val="0"/>
          <w:bCs w:val="0"/>
          <w:color w:val="000000"/>
          <w:sz w:val="32"/>
          <w:szCs w:val="32"/>
          <w:lang w:val="en-US" w:eastAsia="zh-CN"/>
        </w:rPr>
        <w:t>6</w:t>
      </w:r>
      <w:r>
        <w:rPr>
          <w:rFonts w:hint="eastAsia" w:ascii="仿宋_GB2312" w:hAnsi="宋体" w:eastAsia="仿宋_GB2312" w:cs="宋体"/>
          <w:b w:val="0"/>
          <w:bCs w:val="0"/>
          <w:color w:val="000000"/>
          <w:sz w:val="32"/>
          <w:szCs w:val="32"/>
        </w:rPr>
        <w:t>0Nm³/吨。</w:t>
      </w:r>
    </w:p>
    <w:p w14:paraId="6B19B7B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净化合成车间为责任单位，考核依据：（甲醇耗用净化气量基准v 值24</w:t>
      </w:r>
      <w:r>
        <w:rPr>
          <w:rFonts w:hint="eastAsia" w:ascii="仿宋_GB2312" w:hAnsi="宋体" w:eastAsia="仿宋_GB2312" w:cs="宋体"/>
          <w:b w:val="0"/>
          <w:bCs w:val="0"/>
          <w:color w:val="000000"/>
          <w:sz w:val="32"/>
          <w:szCs w:val="32"/>
          <w:lang w:val="en-US" w:eastAsia="zh-CN"/>
        </w:rPr>
        <w:t>6</w:t>
      </w:r>
      <w:r>
        <w:rPr>
          <w:rFonts w:hint="eastAsia" w:ascii="仿宋_GB2312" w:hAnsi="宋体" w:eastAsia="仿宋_GB2312" w:cs="宋体"/>
          <w:b w:val="0"/>
          <w:bCs w:val="0"/>
          <w:color w:val="000000"/>
          <w:sz w:val="32"/>
          <w:szCs w:val="32"/>
        </w:rPr>
        <w:t>0Nm³/吨－净化气实际消耗量÷实际精甲醇产量）×{（完成按当月不含税甲醇售价×2%）或（未完成按当月不含税甲醇售价×1%）</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w:t>
      </w:r>
    </w:p>
    <w:p w14:paraId="79348A30">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lang w:val="en-US" w:eastAsia="zh-CN"/>
        </w:rPr>
        <w:t>四</w:t>
      </w: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rPr>
        <w:t>脱盐水量。</w:t>
      </w:r>
    </w:p>
    <w:p w14:paraId="04B06D2B">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lang w:val="en-US" w:eastAsia="zh-CN"/>
        </w:rPr>
        <w:t>五</w:t>
      </w: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rPr>
        <w:t>制水率控制在0.7</w:t>
      </w:r>
      <w:r>
        <w:rPr>
          <w:rFonts w:hint="eastAsia" w:ascii="楷体_GB2312" w:hAnsi="楷体_GB2312" w:eastAsia="楷体_GB2312" w:cs="楷体_GB2312"/>
          <w:b w:val="0"/>
          <w:bCs w:val="0"/>
          <w:color w:val="000000"/>
          <w:sz w:val="32"/>
          <w:szCs w:val="32"/>
          <w:lang w:val="en-US" w:eastAsia="zh-CN"/>
        </w:rPr>
        <w:t>5</w:t>
      </w:r>
      <w:r>
        <w:rPr>
          <w:rFonts w:hint="eastAsia" w:ascii="楷体_GB2312" w:hAnsi="楷体_GB2312" w:eastAsia="楷体_GB2312" w:cs="楷体_GB2312"/>
          <w:b w:val="0"/>
          <w:bCs w:val="0"/>
          <w:color w:val="000000"/>
          <w:sz w:val="32"/>
          <w:szCs w:val="32"/>
        </w:rPr>
        <w:t>以内。</w:t>
      </w:r>
    </w:p>
    <w:p w14:paraId="7F58C70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水处理车间为责任单位，考核依据：（0.7</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-月度实际制水率）×月度脱盐水装置使用原水量×5.05元/吨×2%；</w:t>
      </w:r>
    </w:p>
    <w:p w14:paraId="0BD7A75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月度脱盐水实际制水率=月度原水量/月度产出脱盐水量</w:t>
      </w:r>
    </w:p>
    <w:p w14:paraId="0A83A21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六</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副产品考核指标</w:t>
      </w:r>
    </w:p>
    <w:p w14:paraId="76EE16E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（一）硫酸铵。</w:t>
      </w:r>
      <w:r>
        <w:rPr>
          <w:rFonts w:hint="eastAsia" w:ascii="仿宋_GB2312" w:hAnsi="宋体" w:eastAsia="仿宋_GB2312" w:cs="宋体"/>
          <w:b w:val="0"/>
          <w:bCs w:val="0"/>
          <w:color w:val="000000"/>
          <w:sz w:val="32"/>
          <w:szCs w:val="32"/>
        </w:rPr>
        <w:t>动力车间为责任单位，考核依据：（实际</w:t>
      </w:r>
      <w:r>
        <w:rPr>
          <w:rFonts w:hint="eastAsia" w:ascii="仿宋_GB2312" w:hAnsi="宋体" w:eastAsia="仿宋_GB2312" w:cs="宋体"/>
          <w:b w:val="0"/>
          <w:bCs w:val="0"/>
          <w:color w:val="000000"/>
          <w:sz w:val="32"/>
          <w:szCs w:val="32"/>
          <w:lang w:val="en-US" w:eastAsia="zh-CN"/>
        </w:rPr>
        <w:t>生产量</w:t>
      </w:r>
      <w:r>
        <w:rPr>
          <w:rFonts w:hint="eastAsia" w:ascii="仿宋_GB2312" w:hAnsi="宋体" w:eastAsia="仿宋_GB2312" w:cs="宋体"/>
          <w:b w:val="0"/>
          <w:bCs w:val="0"/>
          <w:color w:val="000000"/>
          <w:sz w:val="32"/>
          <w:szCs w:val="32"/>
        </w:rPr>
        <w:t>－计划</w:t>
      </w:r>
      <w:r>
        <w:rPr>
          <w:rFonts w:hint="eastAsia" w:ascii="仿宋_GB2312" w:hAnsi="宋体" w:eastAsia="仿宋_GB2312" w:cs="宋体"/>
          <w:b w:val="0"/>
          <w:bCs w:val="0"/>
          <w:color w:val="000000"/>
          <w:sz w:val="32"/>
          <w:szCs w:val="32"/>
          <w:lang w:val="en-US" w:eastAsia="zh-CN"/>
        </w:rPr>
        <w:t>生产</w:t>
      </w:r>
      <w:r>
        <w:rPr>
          <w:rFonts w:hint="eastAsia" w:ascii="仿宋_GB2312" w:hAnsi="宋体" w:eastAsia="仿宋_GB2312" w:cs="宋体"/>
          <w:b w:val="0"/>
          <w:bCs w:val="0"/>
          <w:color w:val="000000"/>
          <w:sz w:val="32"/>
          <w:szCs w:val="32"/>
        </w:rPr>
        <w:t>量）×当月平均销售单价×2%；以生产计划与市场需求销量作为考核目的。</w:t>
      </w:r>
    </w:p>
    <w:p w14:paraId="26F1B83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（二）液氮。</w:t>
      </w:r>
      <w:r>
        <w:rPr>
          <w:rFonts w:hint="eastAsia" w:ascii="仿宋_GB2312" w:hAnsi="宋体" w:eastAsia="仿宋_GB2312" w:cs="宋体"/>
          <w:b w:val="0"/>
          <w:bCs w:val="0"/>
          <w:color w:val="000000"/>
          <w:sz w:val="32"/>
          <w:szCs w:val="32"/>
        </w:rPr>
        <w:t>空分车间为责任单位，考核依据：（实际</w:t>
      </w:r>
      <w:r>
        <w:rPr>
          <w:rFonts w:hint="eastAsia" w:ascii="仿宋_GB2312" w:hAnsi="宋体" w:eastAsia="仿宋_GB2312" w:cs="宋体"/>
          <w:b w:val="0"/>
          <w:bCs w:val="0"/>
          <w:color w:val="000000"/>
          <w:sz w:val="32"/>
          <w:szCs w:val="32"/>
          <w:lang w:val="en-US" w:eastAsia="zh-CN"/>
        </w:rPr>
        <w:t>生产量</w:t>
      </w:r>
      <w:r>
        <w:rPr>
          <w:rFonts w:hint="eastAsia" w:ascii="仿宋_GB2312" w:hAnsi="宋体" w:eastAsia="仿宋_GB2312" w:cs="宋体"/>
          <w:b w:val="0"/>
          <w:bCs w:val="0"/>
          <w:color w:val="000000"/>
          <w:sz w:val="32"/>
          <w:szCs w:val="32"/>
        </w:rPr>
        <w:t>－计划</w:t>
      </w:r>
      <w:r>
        <w:rPr>
          <w:rFonts w:hint="eastAsia" w:ascii="仿宋_GB2312" w:hAnsi="宋体" w:eastAsia="仿宋_GB2312" w:cs="宋体"/>
          <w:b w:val="0"/>
          <w:bCs w:val="0"/>
          <w:color w:val="000000"/>
          <w:sz w:val="32"/>
          <w:szCs w:val="32"/>
          <w:lang w:val="en-US" w:eastAsia="zh-CN"/>
        </w:rPr>
        <w:t>生产</w:t>
      </w:r>
      <w:r>
        <w:rPr>
          <w:rFonts w:hint="eastAsia" w:ascii="仿宋_GB2312" w:hAnsi="宋体" w:eastAsia="仿宋_GB2312" w:cs="宋体"/>
          <w:b w:val="0"/>
          <w:bCs w:val="0"/>
          <w:color w:val="000000"/>
          <w:sz w:val="32"/>
          <w:szCs w:val="32"/>
        </w:rPr>
        <w:t>量）×当月平均销售单价×5%；以生产计划与市场需求销量作为考核目的。</w:t>
      </w:r>
    </w:p>
    <w:p w14:paraId="2235129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（三）硫磺。</w:t>
      </w:r>
      <w:r>
        <w:rPr>
          <w:rFonts w:hint="eastAsia" w:ascii="仿宋_GB2312" w:hAnsi="宋体" w:eastAsia="仿宋_GB2312" w:cs="宋体"/>
          <w:b w:val="0"/>
          <w:bCs w:val="0"/>
          <w:color w:val="000000"/>
          <w:sz w:val="32"/>
          <w:szCs w:val="32"/>
        </w:rPr>
        <w:t>净化合成车间为责任单位，考核依据：（实际</w:t>
      </w:r>
      <w:r>
        <w:rPr>
          <w:rFonts w:hint="eastAsia" w:ascii="仿宋_GB2312" w:hAnsi="宋体" w:eastAsia="仿宋_GB2312" w:cs="宋体"/>
          <w:b w:val="0"/>
          <w:bCs w:val="0"/>
          <w:color w:val="000000"/>
          <w:sz w:val="32"/>
          <w:szCs w:val="32"/>
          <w:lang w:val="en-US" w:eastAsia="zh-CN"/>
        </w:rPr>
        <w:t>生产量</w:t>
      </w:r>
      <w:r>
        <w:rPr>
          <w:rFonts w:hint="eastAsia" w:ascii="仿宋_GB2312" w:hAnsi="宋体" w:eastAsia="仿宋_GB2312" w:cs="宋体"/>
          <w:b w:val="0"/>
          <w:bCs w:val="0"/>
          <w:color w:val="000000"/>
          <w:sz w:val="32"/>
          <w:szCs w:val="32"/>
        </w:rPr>
        <w:t>－计划</w:t>
      </w:r>
      <w:r>
        <w:rPr>
          <w:rFonts w:hint="eastAsia" w:ascii="仿宋_GB2312" w:hAnsi="宋体" w:eastAsia="仿宋_GB2312" w:cs="宋体"/>
          <w:b w:val="0"/>
          <w:bCs w:val="0"/>
          <w:color w:val="000000"/>
          <w:sz w:val="32"/>
          <w:szCs w:val="32"/>
          <w:lang w:val="en-US" w:eastAsia="zh-CN"/>
        </w:rPr>
        <w:t>生产</w:t>
      </w:r>
      <w:r>
        <w:rPr>
          <w:rFonts w:hint="eastAsia" w:ascii="仿宋_GB2312" w:hAnsi="宋体" w:eastAsia="仿宋_GB2312" w:cs="宋体"/>
          <w:b w:val="0"/>
          <w:bCs w:val="0"/>
          <w:color w:val="000000"/>
          <w:sz w:val="32"/>
          <w:szCs w:val="32"/>
        </w:rPr>
        <w:t>量）×当月平均销售单价×2%；以生产计划与市场需求销量作为考核目的。</w:t>
      </w:r>
    </w:p>
    <w:p w14:paraId="6916E0F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（四）杂醇油。</w:t>
      </w:r>
      <w:r>
        <w:rPr>
          <w:rFonts w:hint="eastAsia" w:ascii="仿宋_GB2312" w:hAnsi="宋体" w:eastAsia="仿宋_GB2312" w:cs="宋体"/>
          <w:b w:val="0"/>
          <w:bCs w:val="0"/>
          <w:color w:val="000000"/>
          <w:sz w:val="32"/>
          <w:szCs w:val="32"/>
        </w:rPr>
        <w:t>净化合成车间为责任单位，考核依据：（计划</w:t>
      </w:r>
      <w:r>
        <w:rPr>
          <w:rFonts w:hint="eastAsia" w:ascii="仿宋_GB2312" w:hAnsi="宋体" w:eastAsia="仿宋_GB2312" w:cs="宋体"/>
          <w:b w:val="0"/>
          <w:bCs w:val="0"/>
          <w:color w:val="000000"/>
          <w:sz w:val="32"/>
          <w:szCs w:val="32"/>
          <w:lang w:val="en-US" w:eastAsia="zh-CN"/>
        </w:rPr>
        <w:t>生产</w:t>
      </w:r>
      <w:r>
        <w:rPr>
          <w:rFonts w:hint="eastAsia" w:ascii="仿宋_GB2312" w:hAnsi="宋体" w:eastAsia="仿宋_GB2312" w:cs="宋体"/>
          <w:b w:val="0"/>
          <w:bCs w:val="0"/>
          <w:color w:val="000000"/>
          <w:sz w:val="32"/>
          <w:szCs w:val="32"/>
        </w:rPr>
        <w:t>量－实际</w:t>
      </w:r>
      <w:r>
        <w:rPr>
          <w:rFonts w:hint="eastAsia" w:ascii="仿宋_GB2312" w:hAnsi="宋体" w:eastAsia="仿宋_GB2312" w:cs="宋体"/>
          <w:b w:val="0"/>
          <w:bCs w:val="0"/>
          <w:color w:val="000000"/>
          <w:sz w:val="32"/>
          <w:szCs w:val="32"/>
          <w:lang w:val="en-US" w:eastAsia="zh-CN"/>
        </w:rPr>
        <w:t>生产量</w:t>
      </w:r>
      <w:r>
        <w:rPr>
          <w:rFonts w:hint="eastAsia" w:ascii="仿宋_GB2312" w:hAnsi="宋体" w:eastAsia="仿宋_GB2312" w:cs="宋体"/>
          <w:b w:val="0"/>
          <w:bCs w:val="0"/>
          <w:color w:val="000000"/>
          <w:sz w:val="32"/>
          <w:szCs w:val="32"/>
        </w:rPr>
        <w:t>）×当月平均销售单价×5%；以生产计划与减少杂醇油生产量为考核目的。</w:t>
      </w:r>
    </w:p>
    <w:p w14:paraId="7491770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七</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单耗考核指标</w:t>
      </w:r>
    </w:p>
    <w:p w14:paraId="573A7FF2">
      <w:pPr>
        <w:keepNext w:val="0"/>
        <w:keepLines w:val="0"/>
        <w:pageBreakBefore w:val="0"/>
        <w:wordWrap/>
        <w:overflowPunct/>
        <w:topLinePunct w:val="0"/>
        <w:bidi w:val="0"/>
        <w:spacing w:line="520" w:lineRule="exact"/>
        <w:ind w:firstLine="640" w:firstLineChars="200"/>
        <w:rPr>
          <w:rFonts w:hint="default" w:ascii="楷体_GB2312" w:hAnsi="楷体_GB2312" w:eastAsia="楷体_GB2312" w:cs="楷体_GB2312"/>
          <w:b w:val="0"/>
          <w:bCs w:val="0"/>
          <w:color w:val="000000"/>
          <w:sz w:val="32"/>
          <w:szCs w:val="32"/>
          <w:lang w:val="en-US"/>
        </w:rPr>
      </w:pPr>
      <w:r>
        <w:rPr>
          <w:rFonts w:hint="eastAsia" w:ascii="楷体_GB2312" w:hAnsi="楷体_GB2312" w:eastAsia="楷体_GB2312" w:cs="楷体_GB2312"/>
          <w:b w:val="0"/>
          <w:bCs w:val="0"/>
          <w:color w:val="000000"/>
          <w:sz w:val="32"/>
          <w:szCs w:val="32"/>
        </w:rPr>
        <w:t>（一）吨精甲醇原料煤单耗（5500大卡）单耗控制在1.5</w:t>
      </w:r>
      <w:r>
        <w:rPr>
          <w:rFonts w:hint="eastAsia" w:ascii="楷体_GB2312" w:hAnsi="楷体_GB2312" w:eastAsia="楷体_GB2312" w:cs="楷体_GB2312"/>
          <w:b w:val="0"/>
          <w:bCs w:val="0"/>
          <w:color w:val="000000"/>
          <w:sz w:val="32"/>
          <w:szCs w:val="32"/>
          <w:lang w:val="en-US" w:eastAsia="zh-CN"/>
        </w:rPr>
        <w:t>8吨/吨</w:t>
      </w:r>
    </w:p>
    <w:p w14:paraId="15B8D3C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气化车间为责任单位，考核依据：（计划单耗－实际单耗）×当月甲醇产量×当月不含税原料煤平均单价×（完成增加0.5%或未完成扣0.25%）</w:t>
      </w:r>
    </w:p>
    <w:p w14:paraId="3123C51A">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lang w:eastAsia="zh-CN"/>
        </w:rPr>
      </w:pPr>
      <w:r>
        <w:rPr>
          <w:rFonts w:hint="eastAsia" w:ascii="楷体_GB2312" w:hAnsi="楷体_GB2312" w:eastAsia="楷体_GB2312" w:cs="楷体_GB2312"/>
          <w:b w:val="0"/>
          <w:bCs w:val="0"/>
          <w:color w:val="000000"/>
          <w:sz w:val="32"/>
          <w:szCs w:val="32"/>
        </w:rPr>
        <w:t>（二）吨甲醇动力煤单耗（4300大卡）单耗控制在</w:t>
      </w:r>
      <w:r>
        <w:rPr>
          <w:rFonts w:hint="eastAsia" w:ascii="楷体_GB2312" w:hAnsi="楷体_GB2312" w:eastAsia="楷体_GB2312" w:cs="楷体_GB2312"/>
          <w:b w:val="0"/>
          <w:bCs w:val="0"/>
          <w:color w:val="000000"/>
          <w:sz w:val="32"/>
          <w:szCs w:val="32"/>
          <w:lang w:val="en-US" w:eastAsia="zh-CN"/>
        </w:rPr>
        <w:t>0.56吨（其中</w:t>
      </w:r>
      <w:r>
        <w:rPr>
          <w:rFonts w:hint="eastAsia" w:ascii="楷体_GB2312" w:hAnsi="楷体_GB2312" w:eastAsia="楷体_GB2312" w:cs="楷体_GB2312"/>
          <w:b w:val="0"/>
          <w:bCs w:val="0"/>
          <w:color w:val="000000"/>
          <w:sz w:val="32"/>
          <w:szCs w:val="32"/>
        </w:rPr>
        <w:t>5</w:t>
      </w:r>
      <w:r>
        <w:rPr>
          <w:rFonts w:hint="eastAsia" w:ascii="楷体_GB2312" w:hAnsi="楷体_GB2312" w:eastAsia="楷体_GB2312" w:cs="楷体_GB2312"/>
          <w:b w:val="0"/>
          <w:bCs w:val="0"/>
          <w:color w:val="000000"/>
          <w:sz w:val="32"/>
          <w:szCs w:val="32"/>
          <w:lang w:val="en-US" w:eastAsia="zh-CN"/>
        </w:rPr>
        <w:t>月</w:t>
      </w:r>
      <w:r>
        <w:rPr>
          <w:rFonts w:hint="eastAsia" w:ascii="楷体_GB2312" w:hAnsi="楷体_GB2312" w:eastAsia="楷体_GB2312" w:cs="楷体_GB2312"/>
          <w:b w:val="0"/>
          <w:bCs w:val="0"/>
          <w:color w:val="000000"/>
          <w:sz w:val="32"/>
          <w:szCs w:val="32"/>
        </w:rPr>
        <w:t>-9月0.54</w:t>
      </w:r>
      <w:r>
        <w:rPr>
          <w:rFonts w:hint="eastAsia" w:ascii="楷体_GB2312" w:hAnsi="楷体_GB2312" w:eastAsia="楷体_GB2312" w:cs="楷体_GB2312"/>
          <w:b w:val="0"/>
          <w:bCs w:val="0"/>
          <w:color w:val="000000"/>
          <w:sz w:val="32"/>
          <w:szCs w:val="32"/>
          <w:lang w:val="en-US" w:eastAsia="zh-CN"/>
        </w:rPr>
        <w:t>吨</w:t>
      </w: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rPr>
        <w:t>10</w:t>
      </w:r>
      <w:r>
        <w:rPr>
          <w:rFonts w:hint="eastAsia" w:ascii="楷体_GB2312" w:hAnsi="楷体_GB2312" w:eastAsia="楷体_GB2312" w:cs="楷体_GB2312"/>
          <w:b w:val="0"/>
          <w:bCs w:val="0"/>
          <w:color w:val="000000"/>
          <w:sz w:val="32"/>
          <w:szCs w:val="32"/>
          <w:lang w:val="en-US" w:eastAsia="zh-CN"/>
        </w:rPr>
        <w:t>月</w:t>
      </w:r>
      <w:r>
        <w:rPr>
          <w:rFonts w:hint="eastAsia" w:ascii="楷体_GB2312" w:hAnsi="楷体_GB2312" w:eastAsia="楷体_GB2312" w:cs="楷体_GB2312"/>
          <w:b w:val="0"/>
          <w:bCs w:val="0"/>
          <w:color w:val="000000"/>
          <w:sz w:val="32"/>
          <w:szCs w:val="32"/>
        </w:rPr>
        <w:t>-4月0.58</w:t>
      </w:r>
      <w:r>
        <w:rPr>
          <w:rFonts w:hint="eastAsia" w:ascii="楷体_GB2312" w:hAnsi="楷体_GB2312" w:eastAsia="楷体_GB2312" w:cs="楷体_GB2312"/>
          <w:b w:val="0"/>
          <w:bCs w:val="0"/>
          <w:color w:val="000000"/>
          <w:sz w:val="32"/>
          <w:szCs w:val="32"/>
          <w:lang w:val="en-US" w:eastAsia="zh-CN"/>
        </w:rPr>
        <w:t>吨</w:t>
      </w:r>
      <w:r>
        <w:rPr>
          <w:rFonts w:hint="eastAsia" w:ascii="楷体_GB2312" w:hAnsi="楷体_GB2312" w:eastAsia="楷体_GB2312" w:cs="楷体_GB2312"/>
          <w:b w:val="0"/>
          <w:bCs w:val="0"/>
          <w:color w:val="000000"/>
          <w:sz w:val="32"/>
          <w:szCs w:val="32"/>
          <w:lang w:eastAsia="zh-CN"/>
        </w:rPr>
        <w:t>）</w:t>
      </w:r>
    </w:p>
    <w:p w14:paraId="444D4FD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动力车间为责任单位，考核依据：（计划单耗－实际单耗）×当月甲醇产量×当月不含税动力煤平均单价×（完成增加0.5%或未完成扣0.25%）</w:t>
      </w:r>
    </w:p>
    <w:p w14:paraId="489EFFD9">
      <w:pPr>
        <w:keepNext w:val="0"/>
        <w:keepLines w:val="0"/>
        <w:pageBreakBefore w:val="0"/>
        <w:wordWrap/>
        <w:overflowPunct/>
        <w:topLinePunct w:val="0"/>
        <w:bidi w:val="0"/>
        <w:spacing w:line="520" w:lineRule="exact"/>
        <w:ind w:firstLine="640" w:firstLineChars="200"/>
        <w:rPr>
          <w:rFonts w:hint="default"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rPr>
        <w:t>（三）吨甲醇电耗。年度</w:t>
      </w:r>
      <w:r>
        <w:rPr>
          <w:rFonts w:hint="eastAsia" w:ascii="楷体_GB2312" w:hAnsi="楷体_GB2312" w:eastAsia="楷体_GB2312" w:cs="楷体_GB2312"/>
          <w:b w:val="0"/>
          <w:bCs w:val="0"/>
          <w:color w:val="000000"/>
          <w:sz w:val="32"/>
          <w:szCs w:val="32"/>
          <w:lang w:val="en-US" w:eastAsia="zh-CN"/>
        </w:rPr>
        <w:t>34.50万吨甲醇，</w:t>
      </w:r>
      <w:r>
        <w:rPr>
          <w:rFonts w:hint="eastAsia" w:ascii="楷体_GB2312" w:hAnsi="楷体_GB2312" w:eastAsia="楷体_GB2312" w:cs="楷体_GB2312"/>
          <w:b w:val="0"/>
          <w:bCs w:val="0"/>
          <w:color w:val="000000"/>
          <w:sz w:val="32"/>
          <w:szCs w:val="32"/>
        </w:rPr>
        <w:t>平均单耗控制</w:t>
      </w:r>
      <w:r>
        <w:rPr>
          <w:rFonts w:hint="eastAsia" w:ascii="楷体_GB2312" w:hAnsi="楷体_GB2312" w:eastAsia="楷体_GB2312" w:cs="楷体_GB2312"/>
          <w:b w:val="0"/>
          <w:bCs w:val="0"/>
          <w:color w:val="000000"/>
          <w:sz w:val="32"/>
          <w:szCs w:val="32"/>
          <w:lang w:val="en-US" w:eastAsia="zh-CN"/>
        </w:rPr>
        <w:t>在372.89吨/KWh</w:t>
      </w:r>
    </w:p>
    <w:p w14:paraId="16C9F3D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电气车间为牵头单位，动力车间、气化车间、净化合成车间、空分车间、水处理车间为联责。</w:t>
      </w:r>
    </w:p>
    <w:p w14:paraId="5C9B2D1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考核依据：（当月计划单耗－实际单耗）×当月甲醇产量×当月电费不含税单价×（节约增加绩效2%或未完成扣减绩效1%）</w:t>
      </w:r>
    </w:p>
    <w:p w14:paraId="481D532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电气车间占比20%、动力车间占比18%、空分车间占比6%、气化车间占比14%、净化合成车间占比14%、水处理车间占比28%。</w:t>
      </w:r>
    </w:p>
    <w:p w14:paraId="4C9B778C">
      <w:pPr>
        <w:keepNext w:val="0"/>
        <w:keepLines w:val="0"/>
        <w:pageBreakBefore w:val="0"/>
        <w:wordWrap/>
        <w:overflowPunct/>
        <w:topLinePunct w:val="0"/>
        <w:bidi w:val="0"/>
        <w:spacing w:line="520" w:lineRule="exact"/>
        <w:ind w:firstLine="640" w:firstLineChars="200"/>
        <w:rPr>
          <w:rFonts w:hint="default" w:ascii="楷体_GB2312" w:hAnsi="楷体_GB2312" w:eastAsia="楷体_GB2312" w:cs="楷体_GB2312"/>
          <w:b w:val="0"/>
          <w:bCs w:val="0"/>
          <w:color w:val="000000"/>
          <w:sz w:val="32"/>
          <w:szCs w:val="32"/>
          <w:lang w:val="en-US" w:eastAsia="zh-CN"/>
        </w:rPr>
      </w:pPr>
      <w:r>
        <w:rPr>
          <w:rFonts w:hint="eastAsia" w:ascii="楷体_GB2312" w:hAnsi="楷体_GB2312" w:eastAsia="楷体_GB2312" w:cs="楷体_GB2312"/>
          <w:b w:val="0"/>
          <w:bCs w:val="0"/>
          <w:color w:val="000000"/>
          <w:sz w:val="32"/>
          <w:szCs w:val="32"/>
        </w:rPr>
        <w:t>（四）吨甲醇原水消耗。年度</w:t>
      </w:r>
      <w:r>
        <w:rPr>
          <w:rFonts w:hint="eastAsia" w:ascii="楷体_GB2312" w:hAnsi="楷体_GB2312" w:eastAsia="楷体_GB2312" w:cs="楷体_GB2312"/>
          <w:b w:val="0"/>
          <w:bCs w:val="0"/>
          <w:color w:val="000000"/>
          <w:sz w:val="32"/>
          <w:szCs w:val="32"/>
          <w:lang w:val="en-US" w:eastAsia="zh-CN"/>
        </w:rPr>
        <w:t>34.50万吨甲醇，</w:t>
      </w:r>
      <w:r>
        <w:rPr>
          <w:rFonts w:hint="eastAsia" w:ascii="楷体_GB2312" w:hAnsi="楷体_GB2312" w:eastAsia="楷体_GB2312" w:cs="楷体_GB2312"/>
          <w:b w:val="0"/>
          <w:bCs w:val="0"/>
          <w:color w:val="000000"/>
          <w:sz w:val="32"/>
          <w:szCs w:val="32"/>
        </w:rPr>
        <w:t>平均单耗控制在</w:t>
      </w:r>
      <w:r>
        <w:rPr>
          <w:rFonts w:hint="eastAsia" w:ascii="楷体_GB2312" w:hAnsi="楷体_GB2312" w:eastAsia="楷体_GB2312" w:cs="楷体_GB2312"/>
          <w:b w:val="0"/>
          <w:bCs w:val="0"/>
          <w:color w:val="000000"/>
          <w:sz w:val="32"/>
          <w:szCs w:val="32"/>
          <w:lang w:val="en-US" w:eastAsia="zh-CN"/>
        </w:rPr>
        <w:t>5.74</w:t>
      </w:r>
      <w:r>
        <w:rPr>
          <w:rFonts w:hint="eastAsia" w:ascii="楷体_GB2312" w:hAnsi="楷体_GB2312" w:eastAsia="楷体_GB2312" w:cs="楷体_GB2312"/>
          <w:b w:val="0"/>
          <w:bCs w:val="0"/>
          <w:color w:val="000000"/>
          <w:sz w:val="32"/>
          <w:szCs w:val="32"/>
        </w:rPr>
        <w:t>吨（含生活用水）以下</w:t>
      </w:r>
    </w:p>
    <w:p w14:paraId="0346157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水处理车间为责任单位，考核依据：（当月计划单耗－实际单耗）×当月甲醇产量×5.05元/吨（不含税）×（节约增加2%或未完成扣1%）</w:t>
      </w:r>
    </w:p>
    <w:p w14:paraId="0228E101">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lang w:eastAsia="zh-CN"/>
        </w:rPr>
      </w:pPr>
      <w:r>
        <w:rPr>
          <w:rFonts w:hint="eastAsia" w:ascii="楷体_GB2312" w:hAnsi="楷体_GB2312" w:eastAsia="楷体_GB2312" w:cs="楷体_GB2312"/>
          <w:b w:val="0"/>
          <w:bCs w:val="0"/>
          <w:color w:val="000000"/>
          <w:sz w:val="32"/>
          <w:szCs w:val="32"/>
        </w:rPr>
        <w:t>（五）煤浆浓度。提高到60%以上</w:t>
      </w:r>
    </w:p>
    <w:p w14:paraId="754C98B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气化车间为责任单位，考核依据：每上升0.01增加绩效60元，每下降0.01扣减绩效30元</w:t>
      </w:r>
    </w:p>
    <w:p w14:paraId="7C9D24F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八</w:t>
      </w:r>
      <w:r>
        <w:rPr>
          <w:rFonts w:hint="eastAsia" w:ascii="仿宋_GB2312" w:hAnsi="宋体" w:eastAsia="仿宋_GB2312" w:cs="宋体"/>
          <w:b w:val="0"/>
          <w:bCs w:val="0"/>
          <w:color w:val="000000"/>
          <w:sz w:val="32"/>
          <w:szCs w:val="32"/>
        </w:rPr>
        <w:t>条 长周期稳定运行</w:t>
      </w:r>
    </w:p>
    <w:p w14:paraId="339F732B">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（一）保证备用锅炉、气化炉检修质量</w:t>
      </w:r>
    </w:p>
    <w:p w14:paraId="40F039B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（1）锅炉生产运行最低保证150天倒炉一次，提前一天扣</w:t>
      </w:r>
      <w:r>
        <w:rPr>
          <w:rFonts w:hint="eastAsia" w:ascii="仿宋_GB2312" w:hAnsi="宋体" w:eastAsia="仿宋_GB2312" w:cs="宋体"/>
          <w:b w:val="0"/>
          <w:bCs w:val="0"/>
          <w:color w:val="000000"/>
          <w:sz w:val="32"/>
          <w:szCs w:val="32"/>
          <w:lang w:val="en-US" w:eastAsia="zh-CN"/>
        </w:rPr>
        <w:t>30</w:t>
      </w:r>
      <w:r>
        <w:rPr>
          <w:rFonts w:hint="eastAsia" w:ascii="仿宋_GB2312" w:hAnsi="宋体" w:eastAsia="仿宋_GB2312" w:cs="宋体"/>
          <w:b w:val="0"/>
          <w:bCs w:val="0"/>
          <w:color w:val="000000"/>
          <w:sz w:val="32"/>
          <w:szCs w:val="32"/>
        </w:rPr>
        <w:t>元绩效，延迟一天增加</w:t>
      </w:r>
      <w:r>
        <w:rPr>
          <w:rFonts w:hint="eastAsia" w:ascii="仿宋_GB2312" w:hAnsi="宋体" w:eastAsia="仿宋_GB2312" w:cs="宋体"/>
          <w:b w:val="0"/>
          <w:bCs w:val="0"/>
          <w:color w:val="000000"/>
          <w:sz w:val="32"/>
          <w:szCs w:val="32"/>
          <w:lang w:val="en-US" w:eastAsia="zh-CN"/>
        </w:rPr>
        <w:t>6</w:t>
      </w:r>
      <w:r>
        <w:rPr>
          <w:rFonts w:hint="eastAsia" w:ascii="仿宋_GB2312" w:hAnsi="宋体" w:eastAsia="仿宋_GB2312" w:cs="宋体"/>
          <w:b w:val="0"/>
          <w:bCs w:val="0"/>
          <w:color w:val="000000"/>
          <w:sz w:val="32"/>
          <w:szCs w:val="32"/>
        </w:rPr>
        <w:t>0元绩效。</w:t>
      </w:r>
    </w:p>
    <w:p w14:paraId="57AC34F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（2）气化炉生产运行最低保证65天倒炉一次，提前一天扣50元绩效，延迟一天增加100元绩效。</w:t>
      </w:r>
    </w:p>
    <w:p w14:paraId="04787D6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各部门不得盲目为了增加效益、绩效而忽视安全，否则按严重“三违”问责；按生产周期考核，兑现。</w:t>
      </w:r>
    </w:p>
    <w:p w14:paraId="1D6F056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责任单位：生产技术部占比60%、设备管理部占比30%、销售采购部占比10%</w:t>
      </w:r>
    </w:p>
    <w:p w14:paraId="472EEA0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考核部门：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提供运行相关数据及分析说明</w:t>
      </w:r>
    </w:p>
    <w:p w14:paraId="77088C61">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（二）异常工况</w:t>
      </w:r>
    </w:p>
    <w:p w14:paraId="1DFE62E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异常工况发现不及时、处理不当，将追究当班相关责任人，造成经济损失，将扣减部门或车间绩效工资。</w:t>
      </w:r>
    </w:p>
    <w:p w14:paraId="4324B63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责任单位：各部门及车间</w:t>
      </w:r>
    </w:p>
    <w:p w14:paraId="726E6F2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en-US" w:eastAsia="zh-CN"/>
        </w:rPr>
      </w:pPr>
      <w:r>
        <w:rPr>
          <w:rFonts w:hint="eastAsia" w:ascii="仿宋_GB2312" w:hAnsi="宋体" w:eastAsia="仿宋_GB2312" w:cs="宋体"/>
          <w:b w:val="0"/>
          <w:bCs w:val="0"/>
          <w:color w:val="000000"/>
          <w:sz w:val="32"/>
          <w:szCs w:val="32"/>
        </w:rPr>
        <w:t>追查部门：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lang w:val="en-US" w:eastAsia="zh-CN"/>
        </w:rPr>
        <w:t>按照安全1号文</w:t>
      </w:r>
      <w:r>
        <w:rPr>
          <w:rFonts w:hint="eastAsia" w:ascii="仿宋_GB2312" w:hAnsi="宋体" w:eastAsia="仿宋_GB2312" w:cs="宋体"/>
          <w:b w:val="0"/>
          <w:bCs w:val="0"/>
          <w:color w:val="000000"/>
          <w:sz w:val="32"/>
          <w:szCs w:val="32"/>
        </w:rPr>
        <w:t>提供追查报告及相关考核处罚</w:t>
      </w:r>
      <w:r>
        <w:rPr>
          <w:rFonts w:hint="eastAsia" w:ascii="仿宋_GB2312" w:hAnsi="宋体" w:eastAsia="仿宋_GB2312" w:cs="宋体"/>
          <w:b w:val="0"/>
          <w:bCs w:val="0"/>
          <w:color w:val="000000"/>
          <w:sz w:val="32"/>
          <w:szCs w:val="32"/>
          <w:lang w:val="en-US" w:eastAsia="zh-CN"/>
        </w:rPr>
        <w:t>额度</w:t>
      </w:r>
    </w:p>
    <w:p w14:paraId="11AC41CF">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（三）造成系统减负荷或停车</w:t>
      </w:r>
    </w:p>
    <w:p w14:paraId="18654CB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eastAsia="zh-CN"/>
        </w:rPr>
      </w:pPr>
      <w:r>
        <w:rPr>
          <w:rFonts w:hint="eastAsia" w:ascii="仿宋_GB2312" w:hAnsi="宋体" w:eastAsia="仿宋_GB2312" w:cs="宋体"/>
          <w:b w:val="0"/>
          <w:bCs w:val="0"/>
          <w:color w:val="000000"/>
          <w:sz w:val="32"/>
          <w:szCs w:val="32"/>
        </w:rPr>
        <w:t>由于管理等原因造成系统减负荷或停车，造成产量和经济损失，将扣减部门或车间绩效工资</w:t>
      </w:r>
      <w:r>
        <w:rPr>
          <w:rFonts w:hint="eastAsia" w:ascii="仿宋_GB2312" w:hAnsi="宋体" w:eastAsia="仿宋_GB2312" w:cs="宋体"/>
          <w:b w:val="0"/>
          <w:bCs w:val="0"/>
          <w:color w:val="000000"/>
          <w:sz w:val="32"/>
          <w:szCs w:val="32"/>
          <w:lang w:eastAsia="zh-CN"/>
        </w:rPr>
        <w:t>。</w:t>
      </w:r>
    </w:p>
    <w:p w14:paraId="013BAF0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责任单位：生产技术部及各车间，设备管理部及各车间</w:t>
      </w:r>
    </w:p>
    <w:p w14:paraId="69B6E7D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追查部门：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lang w:val="en-US" w:eastAsia="zh-CN"/>
        </w:rPr>
        <w:t>按照安全1号文</w:t>
      </w:r>
      <w:r>
        <w:rPr>
          <w:rFonts w:hint="eastAsia" w:ascii="仿宋_GB2312" w:hAnsi="宋体" w:eastAsia="仿宋_GB2312" w:cs="宋体"/>
          <w:b w:val="0"/>
          <w:bCs w:val="0"/>
          <w:color w:val="000000"/>
          <w:sz w:val="32"/>
          <w:szCs w:val="32"/>
        </w:rPr>
        <w:t>提供追查报告及相关考核处罚数据</w:t>
      </w:r>
    </w:p>
    <w:p w14:paraId="28E877A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第十</w:t>
      </w:r>
      <w:r>
        <w:rPr>
          <w:rFonts w:hint="eastAsia" w:ascii="仿宋_GB2312" w:hAnsi="宋体" w:eastAsia="仿宋_GB2312" w:cs="宋体"/>
          <w:b w:val="0"/>
          <w:bCs w:val="0"/>
          <w:color w:val="000000"/>
          <w:sz w:val="32"/>
          <w:szCs w:val="32"/>
          <w:lang w:val="en-US" w:eastAsia="zh-CN"/>
        </w:rPr>
        <w:t>九</w:t>
      </w:r>
      <w:r>
        <w:rPr>
          <w:rFonts w:hint="eastAsia" w:ascii="仿宋_GB2312" w:hAnsi="宋体" w:eastAsia="仿宋_GB2312" w:cs="宋体"/>
          <w:b w:val="0"/>
          <w:bCs w:val="0"/>
          <w:color w:val="000000"/>
          <w:sz w:val="32"/>
          <w:szCs w:val="32"/>
        </w:rPr>
        <w:t>条 成本考核指标</w:t>
      </w:r>
    </w:p>
    <w:p w14:paraId="7942F31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根据集团公司下达的吨精甲醇分项成本与精甲醇产量，</w:t>
      </w:r>
      <w:r>
        <w:rPr>
          <w:rFonts w:hint="eastAsia" w:ascii="仿宋_GB2312" w:hAnsi="宋体" w:eastAsia="仿宋_GB2312" w:cs="宋体"/>
          <w:b w:val="0"/>
          <w:bCs w:val="0"/>
          <w:color w:val="000000"/>
          <w:sz w:val="32"/>
          <w:szCs w:val="32"/>
          <w:lang w:eastAsia="zh-CN"/>
        </w:rPr>
        <w:t>作为</w:t>
      </w:r>
      <w:r>
        <w:rPr>
          <w:rFonts w:hint="eastAsia" w:ascii="仿宋_GB2312" w:hAnsi="宋体" w:eastAsia="仿宋_GB2312" w:cs="宋体"/>
          <w:b w:val="0"/>
          <w:bCs w:val="0"/>
          <w:color w:val="000000"/>
          <w:sz w:val="32"/>
          <w:szCs w:val="32"/>
          <w:lang w:val="en-US" w:eastAsia="zh-CN"/>
        </w:rPr>
        <w:t>各项成本</w:t>
      </w:r>
      <w:r>
        <w:rPr>
          <w:rFonts w:hint="eastAsia" w:ascii="仿宋_GB2312" w:hAnsi="宋体" w:eastAsia="仿宋_GB2312" w:cs="宋体"/>
          <w:b w:val="0"/>
          <w:bCs w:val="0"/>
          <w:color w:val="000000"/>
          <w:sz w:val="32"/>
          <w:szCs w:val="32"/>
        </w:rPr>
        <w:t>月（年）度预算指标。</w:t>
      </w:r>
    </w:p>
    <w:p w14:paraId="1875C19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（一）材料费。</w:t>
      </w:r>
      <w:r>
        <w:rPr>
          <w:rFonts w:hint="eastAsia" w:ascii="仿宋_GB2312" w:hAnsi="宋体" w:eastAsia="仿宋_GB2312" w:cs="宋体"/>
          <w:b w:val="0"/>
          <w:bCs w:val="0"/>
          <w:color w:val="000000"/>
          <w:sz w:val="32"/>
          <w:szCs w:val="32"/>
        </w:rPr>
        <w:t>在年度预算基础上各部门自主分解月度指标。为</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谁使用、谁出账</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的原则进行考核。</w:t>
      </w:r>
    </w:p>
    <w:p w14:paraId="78912CF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经营物资部为牵头部门，销售采购部、财务部为联责部门，生产技术部、设备管理部、安全监管部、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lang w:val="en-US" w:eastAsia="zh-CN"/>
        </w:rPr>
        <w:t>为被</w:t>
      </w:r>
      <w:r>
        <w:rPr>
          <w:rFonts w:hint="eastAsia" w:ascii="仿宋_GB2312" w:hAnsi="宋体" w:eastAsia="仿宋_GB2312" w:cs="宋体"/>
          <w:b w:val="0"/>
          <w:bCs w:val="0"/>
          <w:color w:val="000000"/>
          <w:sz w:val="32"/>
          <w:szCs w:val="32"/>
        </w:rPr>
        <w:t>考核部门。</w:t>
      </w:r>
    </w:p>
    <w:p w14:paraId="747657B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联责单位：月度材料总费用节约增加绩效1%，超支扣减绩效0.5%；经管物资部占比40%、销售采购部占比40%、财务部占比20%</w:t>
      </w:r>
    </w:p>
    <w:p w14:paraId="7B1007F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责任单位：生产技术部、设备管理部、安全监管部、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，按（当期预算指标－当期消耗）×节约增加绩效</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0%或超支扣绩效</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0%</w:t>
      </w:r>
    </w:p>
    <w:p w14:paraId="0E880C5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lang w:val="en-US" w:eastAsia="zh-CN"/>
        </w:rPr>
        <w:t>其中配件：由设备管理部与生产技术部联责考核单位，</w:t>
      </w:r>
      <w:r>
        <w:rPr>
          <w:rFonts w:hint="eastAsia" w:ascii="仿宋_GB2312" w:hAnsi="宋体" w:eastAsia="仿宋_GB2312" w:cs="宋体"/>
          <w:b w:val="0"/>
          <w:bCs w:val="0"/>
          <w:color w:val="000000"/>
          <w:sz w:val="32"/>
          <w:szCs w:val="32"/>
        </w:rPr>
        <w:t>绩效增减额＝（</w:t>
      </w:r>
      <w:r>
        <w:rPr>
          <w:rFonts w:hint="eastAsia" w:ascii="仿宋_GB2312" w:hAnsi="宋体" w:eastAsia="仿宋_GB2312" w:cs="宋体"/>
          <w:b w:val="0"/>
          <w:bCs w:val="0"/>
          <w:color w:val="000000"/>
          <w:sz w:val="32"/>
          <w:szCs w:val="32"/>
          <w:lang w:val="en-US" w:eastAsia="zh-CN"/>
        </w:rPr>
        <w:t>当期预算指标</w:t>
      </w:r>
      <w:r>
        <w:rPr>
          <w:rFonts w:hint="eastAsia" w:ascii="仿宋_GB2312" w:hAnsi="宋体" w:eastAsia="仿宋_GB2312" w:cs="宋体"/>
          <w:b w:val="0"/>
          <w:bCs w:val="0"/>
          <w:color w:val="000000"/>
          <w:sz w:val="32"/>
          <w:szCs w:val="32"/>
        </w:rPr>
        <w:t>－</w:t>
      </w:r>
      <w:r>
        <w:rPr>
          <w:rFonts w:hint="eastAsia" w:ascii="仿宋_GB2312" w:hAnsi="宋体" w:eastAsia="仿宋_GB2312" w:cs="宋体"/>
          <w:b w:val="0"/>
          <w:bCs w:val="0"/>
          <w:color w:val="000000"/>
          <w:sz w:val="32"/>
          <w:szCs w:val="32"/>
          <w:lang w:val="en-US" w:eastAsia="zh-CN"/>
        </w:rPr>
        <w:t>当期</w:t>
      </w:r>
      <w:r>
        <w:rPr>
          <w:rFonts w:hint="eastAsia" w:ascii="仿宋_GB2312" w:hAnsi="宋体" w:eastAsia="仿宋_GB2312" w:cs="宋体"/>
          <w:b w:val="0"/>
          <w:bCs w:val="0"/>
          <w:color w:val="000000"/>
          <w:sz w:val="32"/>
          <w:szCs w:val="32"/>
        </w:rPr>
        <w:t>消耗）×50%×5%</w:t>
      </w:r>
    </w:p>
    <w:p w14:paraId="2AC44FC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（二）修理费。</w:t>
      </w:r>
      <w:r>
        <w:rPr>
          <w:rFonts w:hint="eastAsia" w:ascii="仿宋_GB2312" w:hAnsi="宋体" w:eastAsia="仿宋_GB2312" w:cs="宋体"/>
          <w:b w:val="0"/>
          <w:bCs w:val="0"/>
          <w:color w:val="000000"/>
          <w:sz w:val="32"/>
          <w:szCs w:val="32"/>
        </w:rPr>
        <w:t>在年度预算基础上管理部门自主分解月度指标。进行联责考核。</w:t>
      </w:r>
    </w:p>
    <w:p w14:paraId="4835A49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设备管理部为牵头部门，生产技术部、</w:t>
      </w:r>
      <w:r>
        <w:rPr>
          <w:rFonts w:hint="eastAsia" w:ascii="仿宋_GB2312" w:hAnsi="宋体" w:eastAsia="仿宋_GB2312" w:cs="宋体"/>
          <w:b w:val="0"/>
          <w:bCs w:val="0"/>
          <w:color w:val="000000"/>
          <w:sz w:val="32"/>
          <w:szCs w:val="32"/>
          <w:lang w:val="en-US" w:eastAsia="zh-CN"/>
        </w:rPr>
        <w:t>设备管理部</w:t>
      </w:r>
      <w:r>
        <w:rPr>
          <w:rFonts w:hint="eastAsia" w:ascii="仿宋_GB2312" w:hAnsi="宋体" w:eastAsia="仿宋_GB2312" w:cs="宋体"/>
          <w:b w:val="0"/>
          <w:bCs w:val="0"/>
          <w:color w:val="000000"/>
          <w:sz w:val="32"/>
          <w:szCs w:val="32"/>
        </w:rPr>
        <w:t>、经管物资部工程为联责部门。以（当期预算指标－当期消耗）×节约增加绩效</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w:t>
      </w:r>
    </w:p>
    <w:p w14:paraId="4CF8152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绩效挂钩比例为：设备管理部占比40%、生产技术部占比40%，经管物资部工程占比</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0%</w:t>
      </w:r>
    </w:p>
    <w:p w14:paraId="7D238DB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（三）劳务费。</w:t>
      </w:r>
      <w:r>
        <w:rPr>
          <w:rFonts w:hint="eastAsia" w:ascii="仿宋_GB2312" w:hAnsi="宋体" w:eastAsia="仿宋_GB2312" w:cs="宋体"/>
          <w:b w:val="0"/>
          <w:bCs w:val="0"/>
          <w:color w:val="000000"/>
          <w:sz w:val="32"/>
          <w:szCs w:val="32"/>
        </w:rPr>
        <w:t>在年度预算基础上管理部门自主分解月度指标。</w:t>
      </w:r>
      <w:r>
        <w:rPr>
          <w:rFonts w:hint="eastAsia" w:ascii="仿宋_GB2312" w:hAnsi="宋体" w:eastAsia="仿宋_GB2312" w:cs="宋体"/>
          <w:b w:val="0"/>
          <w:bCs w:val="0"/>
          <w:color w:val="000000"/>
          <w:sz w:val="32"/>
          <w:szCs w:val="32"/>
          <w:lang w:val="en-US" w:eastAsia="zh-CN"/>
        </w:rPr>
        <w:t>管理部门</w:t>
      </w:r>
      <w:r>
        <w:rPr>
          <w:rFonts w:hint="eastAsia" w:ascii="仿宋_GB2312" w:hAnsi="宋体" w:eastAsia="仿宋_GB2312" w:cs="宋体"/>
          <w:b w:val="0"/>
          <w:bCs w:val="0"/>
          <w:color w:val="000000"/>
          <w:sz w:val="32"/>
          <w:szCs w:val="32"/>
        </w:rPr>
        <w:t>生产技术部、</w:t>
      </w:r>
      <w:r>
        <w:rPr>
          <w:rFonts w:hint="eastAsia" w:ascii="仿宋_GB2312" w:hAnsi="宋体" w:eastAsia="仿宋_GB2312" w:cs="宋体"/>
          <w:b w:val="0"/>
          <w:bCs w:val="0"/>
          <w:color w:val="000000"/>
          <w:sz w:val="32"/>
          <w:szCs w:val="32"/>
          <w:lang w:val="en-US" w:eastAsia="zh-CN"/>
        </w:rPr>
        <w:t>设备管理部、综合部</w:t>
      </w:r>
      <w:r>
        <w:rPr>
          <w:rFonts w:hint="eastAsia" w:ascii="仿宋_GB2312" w:hAnsi="宋体" w:eastAsia="仿宋_GB2312" w:cs="宋体"/>
          <w:b w:val="0"/>
          <w:bCs w:val="0"/>
          <w:color w:val="000000"/>
          <w:sz w:val="32"/>
          <w:szCs w:val="32"/>
        </w:rPr>
        <w:t>。</w:t>
      </w:r>
    </w:p>
    <w:p w14:paraId="64B832A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eastAsia="zh-CN"/>
        </w:rPr>
      </w:pPr>
      <w:r>
        <w:rPr>
          <w:rFonts w:hint="eastAsia" w:ascii="仿宋_GB2312" w:hAnsi="宋体" w:eastAsia="仿宋_GB2312" w:cs="宋体"/>
          <w:b w:val="0"/>
          <w:bCs w:val="0"/>
          <w:color w:val="000000"/>
          <w:sz w:val="32"/>
          <w:szCs w:val="32"/>
        </w:rPr>
        <w:t>负责日常工作量安排、考核、考评，以年度总承包劳务费为考核额度，（当期劳务预算指标－当期劳务发生额）×节约增加绩效</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w:t>
      </w:r>
      <w:r>
        <w:rPr>
          <w:rFonts w:hint="eastAsia" w:ascii="仿宋_GB2312" w:hAnsi="宋体" w:eastAsia="仿宋_GB2312" w:cs="宋体"/>
          <w:b w:val="0"/>
          <w:bCs w:val="0"/>
          <w:color w:val="000000"/>
          <w:sz w:val="32"/>
          <w:szCs w:val="32"/>
          <w:lang w:eastAsia="zh-CN"/>
        </w:rPr>
        <w:t>。</w:t>
      </w:r>
    </w:p>
    <w:p w14:paraId="5B22490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绩效挂钩比例为：设备管理部占比40%、生产技术部占比40%，</w:t>
      </w:r>
      <w:r>
        <w:rPr>
          <w:rFonts w:hint="eastAsia" w:ascii="仿宋_GB2312" w:hAnsi="宋体" w:eastAsia="仿宋_GB2312" w:cs="宋体"/>
          <w:b w:val="0"/>
          <w:bCs w:val="0"/>
          <w:color w:val="000000"/>
          <w:sz w:val="32"/>
          <w:szCs w:val="32"/>
          <w:lang w:val="en-US" w:eastAsia="zh-CN"/>
        </w:rPr>
        <w:t>综合部</w:t>
      </w:r>
      <w:r>
        <w:rPr>
          <w:rFonts w:hint="eastAsia" w:ascii="仿宋_GB2312" w:hAnsi="宋体" w:eastAsia="仿宋_GB2312" w:cs="宋体"/>
          <w:b w:val="0"/>
          <w:bCs w:val="0"/>
          <w:color w:val="000000"/>
          <w:sz w:val="32"/>
          <w:szCs w:val="32"/>
        </w:rPr>
        <w:t>占比</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0%</w:t>
      </w:r>
    </w:p>
    <w:p w14:paraId="0F6FA4E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（四）环保处置费。</w:t>
      </w:r>
      <w:r>
        <w:rPr>
          <w:rFonts w:hint="eastAsia" w:ascii="仿宋_GB2312" w:hAnsi="宋体" w:eastAsia="仿宋_GB2312" w:cs="宋体"/>
          <w:b w:val="0"/>
          <w:bCs w:val="0"/>
          <w:color w:val="000000"/>
          <w:sz w:val="32"/>
          <w:szCs w:val="32"/>
        </w:rPr>
        <w:t>在年度预算基础上由管理责任部门自主分解月度指标。进行联责考核。</w:t>
      </w:r>
    </w:p>
    <w:p w14:paraId="4916676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安全监管部为管理责任部门，生产技术部、设备管理部、销售采购部。以（当期预算指标－当期消耗）×节约增加绩效</w:t>
      </w:r>
      <w:r>
        <w:rPr>
          <w:rFonts w:hint="eastAsia" w:ascii="仿宋_GB2312" w:hAnsi="宋体" w:eastAsia="仿宋_GB2312" w:cs="宋体"/>
          <w:b w:val="0"/>
          <w:bCs w:val="0"/>
          <w:color w:val="000000"/>
          <w:sz w:val="32"/>
          <w:szCs w:val="32"/>
          <w:lang w:val="en-US" w:eastAsia="zh-CN"/>
        </w:rPr>
        <w:t>2</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w:t>
      </w:r>
    </w:p>
    <w:p w14:paraId="7B8964F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绩效挂钩比例为：生产技术部占比70%，设备管理部占比15%、安全监管部占比10%，销售采购部占比5%</w:t>
      </w:r>
    </w:p>
    <w:p w14:paraId="5DB3DA5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（五）警卫消防费。</w:t>
      </w:r>
      <w:r>
        <w:rPr>
          <w:rFonts w:hint="eastAsia" w:ascii="仿宋_GB2312" w:hAnsi="宋体" w:eastAsia="仿宋_GB2312" w:cs="宋体"/>
          <w:b w:val="0"/>
          <w:bCs w:val="0"/>
          <w:color w:val="000000"/>
          <w:sz w:val="32"/>
          <w:szCs w:val="32"/>
        </w:rPr>
        <w:t>在年度预算基础上部门自主分解月度指标。</w:t>
      </w:r>
    </w:p>
    <w:p w14:paraId="57CCF22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安全监管部为责任部门，以（当期预算指标－当期消耗）×节约增加绩效5%或超支扣绩效2.5%</w:t>
      </w:r>
    </w:p>
    <w:p w14:paraId="7713AC4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（六）</w:t>
      </w:r>
      <w:r>
        <w:rPr>
          <w:rFonts w:hint="eastAsia" w:ascii="楷体_GB2312" w:hAnsi="楷体_GB2312" w:eastAsia="楷体_GB2312" w:cs="楷体_GB2312"/>
          <w:b w:val="0"/>
          <w:bCs w:val="0"/>
          <w:color w:val="000000"/>
          <w:sz w:val="32"/>
          <w:szCs w:val="32"/>
          <w:lang w:val="zh-CN"/>
        </w:rPr>
        <w:t>四项费用</w:t>
      </w:r>
      <w:r>
        <w:rPr>
          <w:rFonts w:hint="eastAsia" w:ascii="楷体_GB2312" w:hAnsi="楷体_GB2312" w:eastAsia="楷体_GB2312" w:cs="楷体_GB2312"/>
          <w:b w:val="0"/>
          <w:bCs w:val="0"/>
          <w:color w:val="000000"/>
          <w:sz w:val="32"/>
          <w:szCs w:val="32"/>
        </w:rPr>
        <w:t>。</w:t>
      </w:r>
      <w:r>
        <w:rPr>
          <w:rFonts w:hint="eastAsia" w:ascii="仿宋_GB2312" w:hAnsi="宋体" w:eastAsia="仿宋_GB2312" w:cs="宋体"/>
          <w:b w:val="0"/>
          <w:bCs w:val="0"/>
          <w:color w:val="000000"/>
          <w:sz w:val="32"/>
          <w:szCs w:val="32"/>
        </w:rPr>
        <w:t>在年度预算基础上部门自主分解月度指标。</w:t>
      </w:r>
    </w:p>
    <w:p w14:paraId="48C3FBB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综合部为牵头部门，财务部为联责部门，以（当期预算指标－当期消耗）×节约增加绩效20%或超支扣绩效10%。绩效挂钩比例为：综合部80%，财务部20%</w:t>
      </w:r>
    </w:p>
    <w:p w14:paraId="30DDC05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楷体_GB2312" w:hAnsi="楷体_GB2312" w:eastAsia="楷体_GB2312" w:cs="楷体_GB2312"/>
          <w:b w:val="0"/>
          <w:bCs w:val="0"/>
          <w:color w:val="000000"/>
          <w:sz w:val="32"/>
          <w:szCs w:val="32"/>
        </w:rPr>
        <w:t>（七）车辆维修费用。</w:t>
      </w:r>
      <w:r>
        <w:rPr>
          <w:rFonts w:hint="eastAsia" w:ascii="仿宋_GB2312" w:hAnsi="宋体" w:eastAsia="仿宋_GB2312" w:cs="宋体"/>
          <w:b w:val="0"/>
          <w:bCs w:val="0"/>
          <w:color w:val="000000"/>
          <w:sz w:val="32"/>
          <w:szCs w:val="32"/>
        </w:rPr>
        <w:t>在年度预算基础上部门自主分解月度指标。</w:t>
      </w:r>
    </w:p>
    <w:p w14:paraId="4629CCE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综合部为管理责任部门。以（当期预算指标－当期消耗）×节约增加绩效</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0%或超支扣绩效</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w:t>
      </w:r>
    </w:p>
    <w:p w14:paraId="291341D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楷体_GB2312" w:hAnsi="楷体_GB2312" w:eastAsia="楷体_GB2312" w:cs="楷体_GB2312"/>
          <w:b w:val="0"/>
          <w:bCs w:val="0"/>
          <w:color w:val="000000"/>
          <w:sz w:val="32"/>
          <w:szCs w:val="32"/>
        </w:rPr>
        <w:t>（八）工会经费。</w:t>
      </w:r>
      <w:r>
        <w:rPr>
          <w:rFonts w:hint="eastAsia" w:ascii="仿宋_GB2312" w:hAnsi="宋体" w:eastAsia="仿宋_GB2312" w:cs="宋体"/>
          <w:b w:val="0"/>
          <w:bCs w:val="0"/>
          <w:color w:val="000000"/>
          <w:sz w:val="32"/>
          <w:szCs w:val="32"/>
        </w:rPr>
        <w:t>在年度预算基础上部门自主分解月度指标。</w:t>
      </w:r>
    </w:p>
    <w:p w14:paraId="62D083A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人力资源部（党群部</w:t>
      </w:r>
      <w:r>
        <w:rPr>
          <w:rFonts w:hint="eastAsia" w:ascii="仿宋_GB2312" w:hAnsi="宋体" w:eastAsia="仿宋_GB2312" w:cs="宋体"/>
          <w:b w:val="0"/>
          <w:bCs w:val="0"/>
          <w:color w:val="000000"/>
          <w:sz w:val="32"/>
          <w:szCs w:val="32"/>
          <w:lang w:eastAsia="zh-CN"/>
        </w:rPr>
        <w:t>）作</w:t>
      </w:r>
      <w:r>
        <w:rPr>
          <w:rFonts w:hint="eastAsia" w:ascii="仿宋_GB2312" w:hAnsi="宋体" w:eastAsia="仿宋_GB2312" w:cs="宋体"/>
          <w:b w:val="0"/>
          <w:bCs w:val="0"/>
          <w:color w:val="000000"/>
          <w:sz w:val="32"/>
          <w:szCs w:val="32"/>
        </w:rPr>
        <w:t>为管理责任部门。以（当期预算指标－当期消耗）×节约增加绩效</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2.5</w:t>
      </w:r>
      <w:r>
        <w:rPr>
          <w:rFonts w:hint="eastAsia" w:ascii="仿宋_GB2312" w:hAnsi="宋体" w:eastAsia="仿宋_GB2312" w:cs="宋体"/>
          <w:b w:val="0"/>
          <w:bCs w:val="0"/>
          <w:color w:val="000000"/>
          <w:sz w:val="32"/>
          <w:szCs w:val="32"/>
        </w:rPr>
        <w:t>%。</w:t>
      </w:r>
    </w:p>
    <w:p w14:paraId="7458901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楷体_GB2312" w:hAnsi="楷体_GB2312" w:eastAsia="楷体_GB2312" w:cs="楷体_GB2312"/>
          <w:b w:val="0"/>
          <w:bCs w:val="0"/>
          <w:color w:val="000000"/>
          <w:sz w:val="32"/>
          <w:szCs w:val="32"/>
        </w:rPr>
        <w:t>（九）党建经费。</w:t>
      </w:r>
      <w:r>
        <w:rPr>
          <w:rFonts w:hint="eastAsia" w:ascii="仿宋_GB2312" w:hAnsi="宋体" w:eastAsia="仿宋_GB2312" w:cs="宋体"/>
          <w:b w:val="0"/>
          <w:bCs w:val="0"/>
          <w:color w:val="000000"/>
          <w:sz w:val="32"/>
          <w:szCs w:val="32"/>
        </w:rPr>
        <w:t>在年度预算基础上部门自主分解月度指标。</w:t>
      </w:r>
    </w:p>
    <w:p w14:paraId="049D839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人力资源部（党群部</w:t>
      </w:r>
      <w:r>
        <w:rPr>
          <w:rFonts w:hint="eastAsia" w:ascii="仿宋_GB2312" w:hAnsi="宋体" w:eastAsia="仿宋_GB2312" w:cs="宋体"/>
          <w:b w:val="0"/>
          <w:bCs w:val="0"/>
          <w:color w:val="000000"/>
          <w:sz w:val="32"/>
          <w:szCs w:val="32"/>
          <w:lang w:eastAsia="zh-CN"/>
        </w:rPr>
        <w:t>）作</w:t>
      </w:r>
      <w:r>
        <w:rPr>
          <w:rFonts w:hint="eastAsia" w:ascii="仿宋_GB2312" w:hAnsi="宋体" w:eastAsia="仿宋_GB2312" w:cs="宋体"/>
          <w:b w:val="0"/>
          <w:bCs w:val="0"/>
          <w:color w:val="000000"/>
          <w:sz w:val="32"/>
          <w:szCs w:val="32"/>
        </w:rPr>
        <w:t>为管理责任部门。以（当期预算指标－当期消耗）×节约增加绩效</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2.5</w:t>
      </w:r>
      <w:r>
        <w:rPr>
          <w:rFonts w:hint="eastAsia" w:ascii="仿宋_GB2312" w:hAnsi="宋体" w:eastAsia="仿宋_GB2312" w:cs="宋体"/>
          <w:b w:val="0"/>
          <w:bCs w:val="0"/>
          <w:color w:val="000000"/>
          <w:sz w:val="32"/>
          <w:szCs w:val="32"/>
        </w:rPr>
        <w:t>%。</w:t>
      </w:r>
    </w:p>
    <w:p w14:paraId="29CD6C8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楷体_GB2312" w:hAnsi="楷体_GB2312" w:eastAsia="楷体_GB2312" w:cs="楷体_GB2312"/>
          <w:b w:val="0"/>
          <w:bCs w:val="0"/>
          <w:color w:val="000000"/>
          <w:sz w:val="32"/>
          <w:szCs w:val="32"/>
        </w:rPr>
        <w:t>（十）职教经费。</w:t>
      </w:r>
      <w:r>
        <w:rPr>
          <w:rFonts w:hint="eastAsia" w:ascii="仿宋_GB2312" w:hAnsi="宋体" w:eastAsia="仿宋_GB2312" w:cs="宋体"/>
          <w:b w:val="0"/>
          <w:bCs w:val="0"/>
          <w:color w:val="000000"/>
          <w:sz w:val="32"/>
          <w:szCs w:val="32"/>
        </w:rPr>
        <w:t>在年度预算基础上部门自主分解月度指标。</w:t>
      </w:r>
    </w:p>
    <w:p w14:paraId="48CA485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安全监管部为牵头单位，人力资源部（党群部</w:t>
      </w:r>
      <w:r>
        <w:rPr>
          <w:rFonts w:hint="eastAsia" w:ascii="仿宋_GB2312" w:hAnsi="宋体" w:eastAsia="仿宋_GB2312" w:cs="宋体"/>
          <w:b w:val="0"/>
          <w:bCs w:val="0"/>
          <w:color w:val="000000"/>
          <w:sz w:val="32"/>
          <w:szCs w:val="32"/>
          <w:lang w:eastAsia="zh-CN"/>
        </w:rPr>
        <w:t>）为</w:t>
      </w:r>
      <w:r>
        <w:rPr>
          <w:rFonts w:hint="eastAsia" w:ascii="仿宋_GB2312" w:hAnsi="宋体" w:eastAsia="仿宋_GB2312" w:cs="宋体"/>
          <w:b w:val="0"/>
          <w:bCs w:val="0"/>
          <w:color w:val="000000"/>
          <w:sz w:val="32"/>
          <w:szCs w:val="32"/>
        </w:rPr>
        <w:t>联责责任部门。以（当期预算指标－当期消耗）×节约增加绩效</w:t>
      </w:r>
      <w:r>
        <w:rPr>
          <w:rFonts w:hint="eastAsia" w:ascii="仿宋_GB2312" w:hAnsi="宋体" w:eastAsia="仿宋_GB2312" w:cs="宋体"/>
          <w:b w:val="0"/>
          <w:bCs w:val="0"/>
          <w:color w:val="000000"/>
          <w:sz w:val="32"/>
          <w:szCs w:val="32"/>
          <w:lang w:val="en-US" w:eastAsia="zh-CN"/>
        </w:rPr>
        <w:t>10</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w:t>
      </w:r>
    </w:p>
    <w:p w14:paraId="1347349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绩效挂钩比例为：安全监管部85%，人力资源部（党群部）15%</w:t>
      </w:r>
    </w:p>
    <w:p w14:paraId="2DBA252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（十一）其他费用。</w:t>
      </w:r>
      <w:r>
        <w:rPr>
          <w:rFonts w:hint="eastAsia" w:ascii="仿宋_GB2312" w:hAnsi="宋体" w:eastAsia="仿宋_GB2312" w:cs="宋体"/>
          <w:b w:val="0"/>
          <w:bCs w:val="0"/>
          <w:color w:val="000000"/>
          <w:sz w:val="32"/>
          <w:szCs w:val="32"/>
        </w:rPr>
        <w:t>在年度预算基础上年度平均分解月度指标。</w:t>
      </w:r>
    </w:p>
    <w:p w14:paraId="59312DC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以（当期预算指标－当期消耗）×节约增加绩效</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%或超支扣绩效</w:t>
      </w:r>
      <w:r>
        <w:rPr>
          <w:rFonts w:hint="eastAsia" w:ascii="仿宋_GB2312" w:hAnsi="宋体" w:eastAsia="仿宋_GB2312" w:cs="宋体"/>
          <w:b w:val="0"/>
          <w:bCs w:val="0"/>
          <w:color w:val="000000"/>
          <w:sz w:val="32"/>
          <w:szCs w:val="32"/>
          <w:lang w:val="en-US" w:eastAsia="zh-CN"/>
        </w:rPr>
        <w:t>2.5</w:t>
      </w:r>
      <w:r>
        <w:rPr>
          <w:rFonts w:hint="eastAsia" w:ascii="仿宋_GB2312" w:hAnsi="宋体" w:eastAsia="仿宋_GB2312" w:cs="宋体"/>
          <w:b w:val="0"/>
          <w:bCs w:val="0"/>
          <w:color w:val="000000"/>
          <w:sz w:val="32"/>
          <w:szCs w:val="32"/>
        </w:rPr>
        <w:t>%。</w:t>
      </w:r>
    </w:p>
    <w:p w14:paraId="4EB508F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生产技术部占比35%、设备管理部占比30%，</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占比5%，安全监管部占比5%、销售采购部占比5%、经管物资部占比5%、财务部占比5%、人力资源部占比5%、综合部5%</w:t>
      </w:r>
    </w:p>
    <w:p w14:paraId="16FE671F">
      <w:pPr>
        <w:keepNext w:val="0"/>
        <w:keepLines w:val="0"/>
        <w:pageBreakBefore w:val="0"/>
        <w:wordWrap/>
        <w:overflowPunct/>
        <w:topLinePunct w:val="0"/>
        <w:bidi w:val="0"/>
        <w:spacing w:line="520" w:lineRule="exact"/>
        <w:ind w:firstLine="640" w:firstLineChars="200"/>
        <w:rPr>
          <w:rFonts w:hint="default" w:ascii="仿宋_GB2312" w:hAnsi="宋体" w:eastAsia="仿宋_GB2312" w:cs="宋体"/>
          <w:b w:val="0"/>
          <w:bCs w:val="0"/>
          <w:color w:val="000000"/>
          <w:sz w:val="32"/>
          <w:szCs w:val="32"/>
          <w:lang w:val="en-US" w:eastAsia="zh-CN"/>
        </w:rPr>
      </w:pPr>
      <w:r>
        <w:rPr>
          <w:rFonts w:hint="eastAsia" w:ascii="仿宋_GB2312" w:hAnsi="宋体" w:eastAsia="仿宋_GB2312" w:cs="宋体"/>
          <w:b w:val="0"/>
          <w:bCs w:val="0"/>
          <w:color w:val="000000"/>
          <w:sz w:val="32"/>
          <w:szCs w:val="32"/>
          <w:lang w:val="en-US" w:eastAsia="zh-CN"/>
        </w:rPr>
        <w:t>其他费用考核不包含煤炭、工资及附加、折旧以及以上成本考核项。</w:t>
      </w:r>
    </w:p>
    <w:p w14:paraId="7F58CC7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注：纪委是监督单位无经营成本项考核指标，纪委成本绩效兑现依据（财务部+销售采购部+经管物资部+人力资源部+综合部）成本项考核兑现金额平均值×10%执行。</w:t>
      </w:r>
    </w:p>
    <w:p w14:paraId="0CA9AAF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w:t>
      </w:r>
      <w:r>
        <w:rPr>
          <w:rFonts w:hint="eastAsia" w:ascii="仿宋_GB2312" w:hAnsi="宋体" w:eastAsia="仿宋_GB2312" w:cs="宋体"/>
          <w:b w:val="0"/>
          <w:bCs w:val="0"/>
          <w:color w:val="000000"/>
          <w:sz w:val="32"/>
          <w:szCs w:val="32"/>
          <w:lang w:val="en-US" w:eastAsia="zh-CN"/>
        </w:rPr>
        <w:t>二十</w:t>
      </w:r>
      <w:r>
        <w:rPr>
          <w:rFonts w:hint="eastAsia" w:ascii="仿宋_GB2312" w:hAnsi="宋体" w:eastAsia="仿宋_GB2312" w:cs="宋体"/>
          <w:b w:val="0"/>
          <w:bCs w:val="0"/>
          <w:color w:val="000000"/>
          <w:sz w:val="32"/>
          <w:szCs w:val="32"/>
        </w:rPr>
        <w:t>条 管理制度考核</w:t>
      </w:r>
    </w:p>
    <w:p w14:paraId="641040D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（一）物资储备额。</w:t>
      </w:r>
      <w:r>
        <w:rPr>
          <w:rFonts w:hint="eastAsia" w:ascii="仿宋_GB2312" w:hAnsi="宋体" w:eastAsia="仿宋_GB2312" w:cs="宋体"/>
          <w:b w:val="0"/>
          <w:bCs w:val="0"/>
          <w:color w:val="000000"/>
          <w:sz w:val="32"/>
          <w:szCs w:val="32"/>
        </w:rPr>
        <w:t>在2025年12月期末储备额的基础上下降1</w:t>
      </w:r>
      <w:r>
        <w:rPr>
          <w:rFonts w:hint="eastAsia" w:ascii="仿宋_GB2312" w:hAnsi="宋体" w:eastAsia="仿宋_GB2312" w:cs="宋体"/>
          <w:b w:val="0"/>
          <w:bCs w:val="0"/>
          <w:color w:val="000000"/>
          <w:sz w:val="32"/>
          <w:szCs w:val="32"/>
          <w:lang w:val="en-US" w:eastAsia="zh-CN"/>
        </w:rPr>
        <w:t>0</w:t>
      </w:r>
      <w:r>
        <w:rPr>
          <w:rFonts w:hint="eastAsia" w:ascii="仿宋_GB2312" w:hAnsi="宋体" w:eastAsia="仿宋_GB2312" w:cs="宋体"/>
          <w:b w:val="0"/>
          <w:bCs w:val="0"/>
          <w:color w:val="000000"/>
          <w:sz w:val="32"/>
          <w:szCs w:val="32"/>
        </w:rPr>
        <w:t>0万元。</w:t>
      </w:r>
    </w:p>
    <w:p w14:paraId="5E95192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经管物资部为牵头单位，销售采购部为联责单位，生产技术部、设备管理部、安全监管部、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为责任单位。</w:t>
      </w:r>
    </w:p>
    <w:p w14:paraId="18F3CAB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联责单位：（期末库存额－期初库存额）×节约增加绩效0.5%或超支扣绩效0.25%；经管物资部占比50%、销售采购部占比50%</w:t>
      </w:r>
    </w:p>
    <w:p w14:paraId="5BB4692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责任单位：生产技术部、设备管理部、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、安全监管部为考核单位。</w:t>
      </w:r>
    </w:p>
    <w:p w14:paraId="3332F07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（期末库存额－期初库存额）×节约增加绩效4%或超支扣绩效2%。绩效挂钩比例为：生产技术部占比65%、设备管理部占比30%，</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占比2%，安全监管部占比3%</w:t>
      </w:r>
    </w:p>
    <w:p w14:paraId="3E258395">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（二）修旧利废。</w:t>
      </w:r>
    </w:p>
    <w:p w14:paraId="4035AEC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1.交旧兑现标准。所有交旧物资一律按0.5元/斤增加绩效。</w:t>
      </w:r>
    </w:p>
    <w:p w14:paraId="3E14DBF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修旧利废计算标准。废旧物资修复，经验收合格后按单项修旧利废工作经济效益测算：修旧利废的价值=目前账面价值（或市场估值）×20%-修理费（投入材料、人工等费用）；单项修旧利废工作考核结算最高额度不超过3000元。</w:t>
      </w:r>
    </w:p>
    <w:p w14:paraId="4147186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废旧材料自制加工成新物资，按原值（或测算价值）的 40%计算或新材料自制加工新物资按原值的20%</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投入部分材料、人工等费用计算。单项修旧利废工作考核结算最高额度不超过3000元。</w:t>
      </w:r>
    </w:p>
    <w:p w14:paraId="5F80DFF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3.废旧物资处置（废铁及塑料制品等）。年度处置目标8万元，处置费用超出目标金额，按超出总金额的10%增加处置单位绩效工资。注：不含设备处置和固废处置</w:t>
      </w:r>
      <w:r>
        <w:rPr>
          <w:rFonts w:hint="eastAsia" w:ascii="仿宋_GB2312" w:hAnsi="宋体" w:eastAsia="仿宋_GB2312" w:cs="宋体"/>
          <w:b w:val="0"/>
          <w:bCs w:val="0"/>
          <w:color w:val="000000"/>
          <w:sz w:val="32"/>
          <w:szCs w:val="32"/>
          <w:lang w:eastAsia="zh-CN"/>
        </w:rPr>
        <w:t>。</w:t>
      </w:r>
    </w:p>
    <w:p w14:paraId="45F696BF">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（三）工程制度管理。</w:t>
      </w:r>
    </w:p>
    <w:p w14:paraId="2001EC9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1.自营工程。公司内部突发紧急零星杂活或公司安排的自营工程，工程结束、验收合格后，结算按照公司《工程管理办法》执行，纳入绩效工资兑现。</w:t>
      </w:r>
    </w:p>
    <w:p w14:paraId="04DE101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2.集团公司批复下达的工程计划考核。具体由经管工程人员按照《工程管理办法》监督考核执行，月度出具考核清单。</w:t>
      </w:r>
    </w:p>
    <w:p w14:paraId="27D5E2F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（四）合同业务入账管理。</w:t>
      </w:r>
      <w:r>
        <w:rPr>
          <w:rFonts w:hint="eastAsia" w:ascii="仿宋_GB2312" w:hAnsi="宋体" w:eastAsia="仿宋_GB2312" w:cs="宋体"/>
          <w:b w:val="0"/>
          <w:bCs w:val="0"/>
          <w:color w:val="000000"/>
          <w:sz w:val="32"/>
          <w:szCs w:val="32"/>
        </w:rPr>
        <w:t>年度内外委单位施工的工程及维修、维简、检测等其他业务的管理。</w:t>
      </w:r>
    </w:p>
    <w:p w14:paraId="537004A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所属各部门长协一年内业务要按合同要求或季度进行结算入账，</w:t>
      </w:r>
      <w:r>
        <w:rPr>
          <w:rFonts w:hint="eastAsia" w:ascii="仿宋_GB2312" w:hAnsi="宋体" w:eastAsia="仿宋_GB2312" w:cs="宋体"/>
          <w:b w:val="0"/>
          <w:bCs w:val="0"/>
          <w:color w:val="000000"/>
          <w:sz w:val="32"/>
          <w:szCs w:val="32"/>
          <w:lang w:eastAsia="zh-CN"/>
        </w:rPr>
        <w:t>超过合同期两个月</w:t>
      </w:r>
      <w:r>
        <w:rPr>
          <w:rFonts w:hint="eastAsia" w:ascii="仿宋_GB2312" w:hAnsi="宋体" w:eastAsia="仿宋_GB2312" w:cs="宋体"/>
          <w:b w:val="0"/>
          <w:bCs w:val="0"/>
          <w:color w:val="000000"/>
          <w:sz w:val="32"/>
          <w:szCs w:val="32"/>
        </w:rPr>
        <w:t>未入账扣减责任人500元；非长协业务要完工两个月内及时入账，否则扣减责任人500元。</w:t>
      </w:r>
    </w:p>
    <w:p w14:paraId="0B6F50F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具体由财务部核对后出具清单</w:t>
      </w:r>
    </w:p>
    <w:p w14:paraId="4882B6F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（五）用电检查管理。</w:t>
      </w:r>
      <w:r>
        <w:rPr>
          <w:rFonts w:hint="eastAsia" w:ascii="仿宋_GB2312" w:hAnsi="宋体" w:eastAsia="仿宋_GB2312" w:cs="宋体"/>
          <w:b w:val="0"/>
          <w:bCs w:val="0"/>
          <w:color w:val="000000"/>
          <w:sz w:val="32"/>
          <w:szCs w:val="32"/>
        </w:rPr>
        <w:t>违反用电管理办法扣除相关责任人50-500元绩效工资，由设备管理部电气车间提供。</w:t>
      </w:r>
    </w:p>
    <w:p w14:paraId="59B27015">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（六）材料日常管理。</w:t>
      </w:r>
    </w:p>
    <w:p w14:paraId="2D82B89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材料计划。每月20日前各单位上报物资需求计划（电子版及签字版），25日前经管物资部仓库人员平衡利库和销售采购部采购业务人员要做好部分询价工作；30日前后经管物资部和销售采购部相互配合组织召开物资采购审查会，每推迟一天扣部门100元、业务负责人50元。销售采购部和经管物资部提供考核单</w:t>
      </w:r>
    </w:p>
    <w:p w14:paraId="5D1260C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2.增补计划。月度增补采购计划，每次扣部门（车间）50元。</w:t>
      </w:r>
    </w:p>
    <w:p w14:paraId="2516A1A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注：销售采购部月底统计物资增补计划表，特殊情况增补计划经主要领导签字剔除考核。</w:t>
      </w:r>
    </w:p>
    <w:p w14:paraId="70457AA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3.增加物资。重复性申请采购、积压库存，</w:t>
      </w:r>
      <w:r>
        <w:rPr>
          <w:rFonts w:hint="eastAsia" w:ascii="仿宋_GB2312" w:hAnsi="宋体" w:eastAsia="仿宋_GB2312" w:cs="宋体"/>
          <w:b w:val="0"/>
          <w:bCs w:val="0"/>
          <w:color w:val="000000"/>
          <w:sz w:val="32"/>
          <w:szCs w:val="32"/>
          <w:lang w:val="zh-CN"/>
        </w:rPr>
        <w:t>每次</w:t>
      </w:r>
      <w:r>
        <w:rPr>
          <w:rFonts w:hint="eastAsia" w:ascii="仿宋_GB2312" w:hAnsi="宋体" w:eastAsia="仿宋_GB2312" w:cs="宋体"/>
          <w:b w:val="0"/>
          <w:bCs w:val="0"/>
          <w:color w:val="000000"/>
          <w:sz w:val="32"/>
          <w:szCs w:val="32"/>
        </w:rPr>
        <w:t>部门（车间）负责人50元、业务负责人50元。由销售采购部和经管物资部提供考核单</w:t>
      </w:r>
    </w:p>
    <w:p w14:paraId="348069A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4.物资到货及时性。采购计划未按采购周期及时到货每影响一次扣主办业务人员50元（申报单位对特殊物资不得缩短采购日期）。各部门提供</w:t>
      </w:r>
    </w:p>
    <w:p w14:paraId="5BDF873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5.物资验收。超出验收时限的，考核相关人员50元/次；验收人员无正当理由未能及时到达验收现场的或故意拖延验收时间的，考核</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0元/次；超出采购订单数量的物资，未经批准给予办理验收手续的，考核相关人员</w:t>
      </w:r>
      <w:r>
        <w:rPr>
          <w:rFonts w:hint="eastAsia" w:ascii="仿宋_GB2312" w:hAnsi="宋体" w:eastAsia="仿宋_GB2312" w:cs="宋体"/>
          <w:b w:val="0"/>
          <w:bCs w:val="0"/>
          <w:color w:val="000000"/>
          <w:sz w:val="32"/>
          <w:szCs w:val="32"/>
          <w:lang w:val="en-US" w:eastAsia="zh-CN"/>
        </w:rPr>
        <w:t>1</w:t>
      </w:r>
      <w:r>
        <w:rPr>
          <w:rFonts w:hint="eastAsia" w:ascii="仿宋_GB2312" w:hAnsi="宋体" w:eastAsia="仿宋_GB2312" w:cs="宋体"/>
          <w:b w:val="0"/>
          <w:bCs w:val="0"/>
          <w:color w:val="000000"/>
          <w:sz w:val="32"/>
          <w:szCs w:val="32"/>
        </w:rPr>
        <w:t>00元/次；其他视情节轻重，扣除相关责任人50-500元绩效工资，造成问题的追究相关责任。采购人员提供</w:t>
      </w:r>
    </w:p>
    <w:p w14:paraId="234702D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6.物资领用。由于生产急需各部门可先领用、签字，三日内办理物资出库手续，否则推迟一天扣50元绩效。仓库人员提供</w:t>
      </w:r>
    </w:p>
    <w:p w14:paraId="7645E23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7.无动态物资考核（不含公司要求储备物资除外）。发现日常材料超过三个月无动态物资每项扣责任单位50元，配件发现超过六个月无动态物资每项扣责任单位100元（进口备件除设备更新不再使用情形外，无论到场时间长短均不被认定为长期闲置物资</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；经管物资部仓库提供。</w:t>
      </w:r>
    </w:p>
    <w:p w14:paraId="7204B44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8.物资丢弃。对有使用价值的材料未及时分拣、送交，乱丢</w:t>
      </w:r>
      <w:r>
        <w:rPr>
          <w:rFonts w:hint="eastAsia" w:ascii="仿宋_GB2312" w:hAnsi="宋体" w:eastAsia="仿宋_GB2312" w:cs="宋体"/>
          <w:b w:val="0"/>
          <w:bCs w:val="0"/>
          <w:color w:val="000000"/>
          <w:sz w:val="32"/>
          <w:szCs w:val="32"/>
          <w:lang w:eastAsia="zh-CN"/>
        </w:rPr>
        <w:t>弃</w:t>
      </w:r>
      <w:r>
        <w:rPr>
          <w:rFonts w:hint="eastAsia" w:ascii="仿宋_GB2312" w:hAnsi="宋体" w:eastAsia="仿宋_GB2312" w:cs="宋体"/>
          <w:b w:val="0"/>
          <w:bCs w:val="0"/>
          <w:color w:val="000000"/>
          <w:sz w:val="32"/>
          <w:szCs w:val="32"/>
        </w:rPr>
        <w:t>的，发现一次扣除相关责任人100元。公司各部门发现提供</w:t>
      </w:r>
    </w:p>
    <w:p w14:paraId="398495C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9.工程材料。杜绝工程费用</w:t>
      </w:r>
      <w:r>
        <w:rPr>
          <w:rFonts w:hint="eastAsia" w:ascii="仿宋_GB2312" w:hAnsi="宋体" w:eastAsia="仿宋_GB2312" w:cs="宋体"/>
          <w:b w:val="0"/>
          <w:bCs w:val="0"/>
          <w:color w:val="000000"/>
          <w:sz w:val="32"/>
          <w:szCs w:val="32"/>
          <w:lang w:eastAsia="zh-CN"/>
        </w:rPr>
        <w:t>计入</w:t>
      </w:r>
      <w:r>
        <w:rPr>
          <w:rFonts w:hint="eastAsia" w:ascii="仿宋_GB2312" w:hAnsi="宋体" w:eastAsia="仿宋_GB2312" w:cs="宋体"/>
          <w:b w:val="0"/>
          <w:bCs w:val="0"/>
          <w:color w:val="000000"/>
          <w:sz w:val="32"/>
          <w:szCs w:val="32"/>
        </w:rPr>
        <w:t>生产成本；否则扣责任单位500元。由工程、财务人员提供</w:t>
      </w:r>
    </w:p>
    <w:p w14:paraId="2E73D87A">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rPr>
        <w:t>（</w:t>
      </w:r>
      <w:r>
        <w:rPr>
          <w:rFonts w:hint="eastAsia" w:ascii="楷体_GB2312" w:hAnsi="楷体_GB2312" w:eastAsia="楷体_GB2312" w:cs="楷体_GB2312"/>
          <w:b w:val="0"/>
          <w:bCs w:val="0"/>
          <w:color w:val="000000"/>
          <w:sz w:val="32"/>
          <w:szCs w:val="32"/>
          <w:lang w:val="en-US" w:eastAsia="zh-CN"/>
        </w:rPr>
        <w:t>七</w:t>
      </w:r>
      <w:r>
        <w:rPr>
          <w:rFonts w:hint="eastAsia" w:ascii="楷体_GB2312" w:hAnsi="楷体_GB2312" w:eastAsia="楷体_GB2312" w:cs="楷体_GB2312"/>
          <w:b w:val="0"/>
          <w:bCs w:val="0"/>
          <w:color w:val="000000"/>
          <w:sz w:val="32"/>
          <w:szCs w:val="32"/>
        </w:rPr>
        <w:t>）甲醇销售管理。</w:t>
      </w:r>
    </w:p>
    <w:p w14:paraId="2D44959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（1）未完成公司安排的销售量，出现涨库一次扣减1000元； 责任单位：销售采购部</w:t>
      </w:r>
    </w:p>
    <w:p w14:paraId="3B2B907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（2）通过竞拍销售单价高于园区同类企业，年度创收目标</w:t>
      </w:r>
      <w:r>
        <w:rPr>
          <w:rFonts w:hint="eastAsia" w:ascii="仿宋_GB2312" w:hAnsi="宋体" w:eastAsia="仿宋_GB2312" w:cs="宋体"/>
          <w:b w:val="0"/>
          <w:bCs w:val="0"/>
          <w:color w:val="000000"/>
          <w:sz w:val="32"/>
          <w:szCs w:val="32"/>
          <w:lang w:val="en-US" w:eastAsia="zh-CN"/>
        </w:rPr>
        <w:t>80</w:t>
      </w:r>
      <w:r>
        <w:rPr>
          <w:rFonts w:hint="eastAsia" w:ascii="仿宋_GB2312" w:hAnsi="宋体" w:eastAsia="仿宋_GB2312" w:cs="宋体"/>
          <w:b w:val="0"/>
          <w:bCs w:val="0"/>
          <w:color w:val="000000"/>
          <w:sz w:val="32"/>
          <w:szCs w:val="32"/>
        </w:rPr>
        <w:t>万元。每月超出</w:t>
      </w:r>
      <w:r>
        <w:rPr>
          <w:rFonts w:hint="eastAsia" w:ascii="仿宋_GB2312" w:hAnsi="宋体" w:eastAsia="仿宋_GB2312" w:cs="宋体"/>
          <w:b w:val="0"/>
          <w:bCs w:val="0"/>
          <w:color w:val="000000"/>
          <w:sz w:val="32"/>
          <w:szCs w:val="32"/>
          <w:lang w:val="en-US" w:eastAsia="zh-CN"/>
        </w:rPr>
        <w:t>6.7</w:t>
      </w:r>
      <w:r>
        <w:rPr>
          <w:rFonts w:hint="eastAsia" w:ascii="仿宋_GB2312" w:hAnsi="宋体" w:eastAsia="仿宋_GB2312" w:cs="宋体"/>
          <w:b w:val="0"/>
          <w:bCs w:val="0"/>
          <w:color w:val="000000"/>
          <w:sz w:val="32"/>
          <w:szCs w:val="32"/>
        </w:rPr>
        <w:t>万元目标，增加绩效工资</w:t>
      </w:r>
      <w:r>
        <w:rPr>
          <w:rFonts w:hint="eastAsia" w:ascii="仿宋_GB2312" w:hAnsi="宋体" w:eastAsia="仿宋_GB2312" w:cs="宋体"/>
          <w:b w:val="0"/>
          <w:bCs w:val="0"/>
          <w:color w:val="000000"/>
          <w:sz w:val="32"/>
          <w:szCs w:val="32"/>
          <w:lang w:val="en-US" w:eastAsia="zh-CN"/>
        </w:rPr>
        <w:t>6</w:t>
      </w:r>
      <w:r>
        <w:rPr>
          <w:rFonts w:hint="eastAsia" w:ascii="仿宋_GB2312" w:hAnsi="宋体" w:eastAsia="仿宋_GB2312" w:cs="宋体"/>
          <w:b w:val="0"/>
          <w:bCs w:val="0"/>
          <w:color w:val="000000"/>
          <w:sz w:val="32"/>
          <w:szCs w:val="32"/>
        </w:rPr>
        <w:t>00元，反之同等扣减。责任单位：销售采购部</w:t>
      </w:r>
    </w:p>
    <w:p w14:paraId="1151A0B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销售采购部提供当期竞拍总体说明材料（签字版），附：园区企业售价证明材料、计算依据等资料。</w:t>
      </w:r>
    </w:p>
    <w:p w14:paraId="03902A0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w:t>
      </w:r>
      <w:r>
        <w:rPr>
          <w:rFonts w:hint="eastAsia" w:ascii="楷体_GB2312" w:hAnsi="楷体_GB2312" w:eastAsia="楷体_GB2312" w:cs="楷体_GB2312"/>
          <w:b w:val="0"/>
          <w:bCs w:val="0"/>
          <w:color w:val="000000"/>
          <w:sz w:val="32"/>
          <w:szCs w:val="32"/>
          <w:lang w:val="en-US" w:eastAsia="zh-CN"/>
        </w:rPr>
        <w:t>八</w:t>
      </w:r>
      <w:r>
        <w:rPr>
          <w:rFonts w:hint="eastAsia" w:ascii="楷体_GB2312" w:hAnsi="楷体_GB2312" w:eastAsia="楷体_GB2312" w:cs="楷体_GB2312"/>
          <w:b w:val="0"/>
          <w:bCs w:val="0"/>
          <w:color w:val="000000"/>
          <w:sz w:val="32"/>
          <w:szCs w:val="32"/>
        </w:rPr>
        <w:t>）煤炭性价比采购。</w:t>
      </w:r>
      <w:r>
        <w:rPr>
          <w:rFonts w:hint="eastAsia" w:ascii="仿宋_GB2312" w:hAnsi="宋体" w:eastAsia="仿宋_GB2312" w:cs="宋体"/>
          <w:b w:val="0"/>
          <w:bCs w:val="0"/>
          <w:color w:val="000000"/>
          <w:sz w:val="32"/>
          <w:szCs w:val="32"/>
        </w:rPr>
        <w:t>根据煤炭市场采购与生产工艺需求煤炭性能指标，进行性价比测算，最大限度降低煤炭采购成本。年度降低煤炭成本</w:t>
      </w:r>
      <w:r>
        <w:rPr>
          <w:rFonts w:hint="eastAsia" w:ascii="仿宋_GB2312" w:hAnsi="宋体" w:eastAsia="仿宋_GB2312" w:cs="宋体"/>
          <w:b w:val="0"/>
          <w:bCs w:val="0"/>
          <w:color w:val="000000"/>
          <w:sz w:val="32"/>
          <w:szCs w:val="32"/>
          <w:lang w:val="en-US" w:eastAsia="zh-CN"/>
        </w:rPr>
        <w:t>360</w:t>
      </w:r>
      <w:r>
        <w:rPr>
          <w:rFonts w:hint="eastAsia" w:ascii="仿宋_GB2312" w:hAnsi="宋体" w:eastAsia="仿宋_GB2312" w:cs="宋体"/>
          <w:b w:val="0"/>
          <w:bCs w:val="0"/>
          <w:color w:val="000000"/>
          <w:sz w:val="32"/>
          <w:szCs w:val="32"/>
        </w:rPr>
        <w:t>万元，</w:t>
      </w:r>
      <w:r>
        <w:rPr>
          <w:rFonts w:hint="eastAsia" w:ascii="仿宋_GB2312" w:hAnsi="宋体" w:eastAsia="仿宋_GB2312" w:cs="宋体"/>
          <w:b w:val="0"/>
          <w:bCs w:val="0"/>
          <w:color w:val="000000"/>
          <w:sz w:val="32"/>
          <w:szCs w:val="32"/>
          <w:lang w:val="en-US" w:eastAsia="zh-CN"/>
        </w:rPr>
        <w:t>3</w:t>
      </w:r>
      <w:r>
        <w:rPr>
          <w:rFonts w:hint="eastAsia" w:ascii="仿宋_GB2312" w:hAnsi="宋体" w:eastAsia="仿宋_GB2312" w:cs="宋体"/>
          <w:b w:val="0"/>
          <w:bCs w:val="0"/>
          <w:color w:val="000000"/>
          <w:sz w:val="32"/>
          <w:szCs w:val="32"/>
        </w:rPr>
        <w:t>0万元/月。每月超出</w:t>
      </w:r>
      <w:r>
        <w:rPr>
          <w:rFonts w:hint="eastAsia" w:ascii="仿宋_GB2312" w:hAnsi="宋体" w:eastAsia="仿宋_GB2312" w:cs="宋体"/>
          <w:b w:val="0"/>
          <w:bCs w:val="0"/>
          <w:color w:val="000000"/>
          <w:sz w:val="32"/>
          <w:szCs w:val="32"/>
          <w:lang w:val="en-US" w:eastAsia="zh-CN"/>
        </w:rPr>
        <w:t>3</w:t>
      </w:r>
      <w:r>
        <w:rPr>
          <w:rFonts w:hint="eastAsia" w:ascii="仿宋_GB2312" w:hAnsi="宋体" w:eastAsia="仿宋_GB2312" w:cs="宋体"/>
          <w:b w:val="0"/>
          <w:bCs w:val="0"/>
          <w:color w:val="000000"/>
          <w:sz w:val="32"/>
          <w:szCs w:val="32"/>
        </w:rPr>
        <w:t>0万元目标，增加绩效工资4000元，反之同等扣减。</w:t>
      </w:r>
    </w:p>
    <w:p w14:paraId="4CA957A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责任单位：销售采购部、生产技术部、财务部、经管物资部、</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气化车间、动力车间；绩效挂钩比例为：销售采购部占比20%、生产技术部占比</w:t>
      </w:r>
      <w:r>
        <w:rPr>
          <w:rFonts w:hint="eastAsia" w:ascii="仿宋_GB2312" w:hAnsi="宋体" w:eastAsia="仿宋_GB2312" w:cs="宋体"/>
          <w:b w:val="0"/>
          <w:bCs w:val="0"/>
          <w:color w:val="000000"/>
          <w:sz w:val="32"/>
          <w:szCs w:val="32"/>
          <w:lang w:val="en-US" w:eastAsia="zh-CN"/>
        </w:rPr>
        <w:t>60</w:t>
      </w:r>
      <w:r>
        <w:rPr>
          <w:rFonts w:hint="eastAsia" w:ascii="仿宋_GB2312" w:hAnsi="宋体" w:eastAsia="仿宋_GB2312" w:cs="宋体"/>
          <w:b w:val="0"/>
          <w:bCs w:val="0"/>
          <w:color w:val="000000"/>
          <w:sz w:val="32"/>
          <w:szCs w:val="32"/>
        </w:rPr>
        <w:t>%，</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占比</w:t>
      </w:r>
      <w:r>
        <w:rPr>
          <w:rFonts w:hint="eastAsia" w:ascii="仿宋_GB2312" w:hAnsi="宋体" w:eastAsia="仿宋_GB2312" w:cs="宋体"/>
          <w:b w:val="0"/>
          <w:bCs w:val="0"/>
          <w:color w:val="000000"/>
          <w:sz w:val="32"/>
          <w:szCs w:val="32"/>
          <w:lang w:val="en-US" w:eastAsia="zh-CN"/>
        </w:rPr>
        <w:t>10</w:t>
      </w:r>
      <w:r>
        <w:rPr>
          <w:rFonts w:hint="eastAsia" w:ascii="仿宋_GB2312" w:hAnsi="宋体" w:eastAsia="仿宋_GB2312" w:cs="宋体"/>
          <w:b w:val="0"/>
          <w:bCs w:val="0"/>
          <w:color w:val="000000"/>
          <w:sz w:val="32"/>
          <w:szCs w:val="32"/>
        </w:rPr>
        <w:t>%</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财务部</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、经管物资部</w:t>
      </w:r>
      <w:r>
        <w:rPr>
          <w:rFonts w:hint="eastAsia" w:ascii="仿宋_GB2312" w:hAnsi="宋体" w:eastAsia="仿宋_GB2312" w:cs="宋体"/>
          <w:b w:val="0"/>
          <w:bCs w:val="0"/>
          <w:color w:val="000000"/>
          <w:sz w:val="32"/>
          <w:szCs w:val="32"/>
          <w:lang w:val="en-US" w:eastAsia="zh-CN"/>
        </w:rPr>
        <w:t>5%</w:t>
      </w:r>
      <w:r>
        <w:rPr>
          <w:rFonts w:hint="eastAsia" w:ascii="仿宋_GB2312" w:hAnsi="宋体" w:eastAsia="仿宋_GB2312" w:cs="宋体"/>
          <w:b w:val="0"/>
          <w:bCs w:val="0"/>
          <w:color w:val="000000"/>
          <w:sz w:val="32"/>
          <w:szCs w:val="32"/>
        </w:rPr>
        <w:t>。</w:t>
      </w:r>
    </w:p>
    <w:p w14:paraId="1794D7A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销售采购部提供性价比纪要总体说明（签字版），附：各煤矿当期市场价格表、公司煤炭需求指标表、计算依据等资料。</w:t>
      </w:r>
    </w:p>
    <w:p w14:paraId="44229CD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w:t>
      </w:r>
      <w:r>
        <w:rPr>
          <w:rFonts w:hint="eastAsia" w:ascii="楷体_GB2312" w:hAnsi="楷体_GB2312" w:eastAsia="楷体_GB2312" w:cs="楷体_GB2312"/>
          <w:b w:val="0"/>
          <w:bCs w:val="0"/>
          <w:color w:val="000000"/>
          <w:sz w:val="32"/>
          <w:szCs w:val="32"/>
          <w:lang w:val="en-US" w:eastAsia="zh-CN"/>
        </w:rPr>
        <w:t>九</w:t>
      </w:r>
      <w:r>
        <w:rPr>
          <w:rFonts w:hint="eastAsia" w:ascii="楷体_GB2312" w:hAnsi="楷体_GB2312" w:eastAsia="楷体_GB2312" w:cs="楷体_GB2312"/>
          <w:b w:val="0"/>
          <w:bCs w:val="0"/>
          <w:color w:val="000000"/>
          <w:sz w:val="32"/>
          <w:szCs w:val="32"/>
        </w:rPr>
        <w:t>）减人提效。</w:t>
      </w:r>
      <w:r>
        <w:rPr>
          <w:rFonts w:hint="eastAsia" w:ascii="仿宋_GB2312" w:hAnsi="宋体" w:eastAsia="仿宋_GB2312" w:cs="宋体"/>
          <w:b w:val="0"/>
          <w:bCs w:val="0"/>
          <w:color w:val="000000"/>
          <w:sz w:val="32"/>
          <w:szCs w:val="32"/>
        </w:rPr>
        <w:t>利用技术创效、智能化等手段，优化减少人员配置，依据减人之日算起至年底减少人员（在岗员工以应发绩效为准、外包队伍以合同为准）工资总额5%，一次性增加绩效工资（人员调剂在本部门</w:t>
      </w:r>
      <w:r>
        <w:rPr>
          <w:rFonts w:hint="eastAsia" w:ascii="仿宋_GB2312" w:hAnsi="宋体" w:eastAsia="仿宋_GB2312" w:cs="宋体"/>
          <w:b w:val="0"/>
          <w:bCs w:val="0"/>
          <w:color w:val="000000"/>
          <w:sz w:val="32"/>
          <w:szCs w:val="32"/>
          <w:lang w:val="en-US" w:eastAsia="zh-CN"/>
        </w:rPr>
        <w:t>或</w:t>
      </w:r>
      <w:r>
        <w:rPr>
          <w:rFonts w:hint="eastAsia" w:ascii="仿宋_GB2312" w:hAnsi="宋体" w:eastAsia="仿宋_GB2312" w:cs="宋体"/>
          <w:b w:val="0"/>
          <w:bCs w:val="0"/>
          <w:color w:val="000000"/>
          <w:sz w:val="32"/>
          <w:szCs w:val="32"/>
        </w:rPr>
        <w:t>车间不予增加绩效），最高额度不超过5000元。</w:t>
      </w:r>
    </w:p>
    <w:p w14:paraId="7EE7457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提供创效项目证明材料，计算依据，经车间、部门负责人、分管领导、总经理签字确认。</w:t>
      </w:r>
    </w:p>
    <w:p w14:paraId="09608E8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rPr>
        <w:t>（</w:t>
      </w:r>
      <w:r>
        <w:rPr>
          <w:rFonts w:hint="eastAsia" w:ascii="楷体_GB2312" w:hAnsi="楷体_GB2312" w:eastAsia="楷体_GB2312" w:cs="楷体_GB2312"/>
          <w:b w:val="0"/>
          <w:bCs w:val="0"/>
          <w:color w:val="000000"/>
          <w:sz w:val="32"/>
          <w:szCs w:val="32"/>
          <w:lang w:val="en-US" w:eastAsia="zh-CN"/>
        </w:rPr>
        <w:t>十</w:t>
      </w:r>
      <w:r>
        <w:rPr>
          <w:rFonts w:hint="eastAsia" w:ascii="楷体_GB2312" w:hAnsi="楷体_GB2312" w:eastAsia="楷体_GB2312" w:cs="楷体_GB2312"/>
          <w:b w:val="0"/>
          <w:bCs w:val="0"/>
          <w:color w:val="000000"/>
          <w:sz w:val="32"/>
          <w:szCs w:val="32"/>
        </w:rPr>
        <w:t>）经营制度执行。</w:t>
      </w:r>
      <w:r>
        <w:rPr>
          <w:rFonts w:hint="eastAsia" w:ascii="仿宋_GB2312" w:hAnsi="宋体" w:eastAsia="仿宋_GB2312" w:cs="宋体"/>
          <w:b w:val="0"/>
          <w:bCs w:val="0"/>
          <w:color w:val="000000"/>
          <w:sz w:val="32"/>
          <w:szCs w:val="32"/>
        </w:rPr>
        <w:t>在经营管理制度执行过程中，不履行或延后、推脱等影响制度执行</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en-US" w:eastAsia="zh-CN"/>
        </w:rPr>
        <w:t>给予</w:t>
      </w:r>
      <w:r>
        <w:rPr>
          <w:rFonts w:hint="eastAsia" w:ascii="仿宋_GB2312" w:hAnsi="宋体" w:eastAsia="仿宋_GB2312" w:cs="宋体"/>
          <w:b w:val="0"/>
          <w:bCs w:val="0"/>
          <w:color w:val="000000"/>
          <w:sz w:val="32"/>
          <w:szCs w:val="32"/>
        </w:rPr>
        <w:t>100至1000元的处罚</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带来后期审计、</w:t>
      </w:r>
      <w:r>
        <w:rPr>
          <w:rFonts w:hint="eastAsia" w:ascii="仿宋_GB2312" w:hAnsi="宋体" w:eastAsia="仿宋_GB2312" w:cs="宋体"/>
          <w:b w:val="0"/>
          <w:bCs w:val="0"/>
          <w:color w:val="000000"/>
          <w:sz w:val="32"/>
          <w:szCs w:val="32"/>
          <w:lang w:eastAsia="zh-CN"/>
        </w:rPr>
        <w:t>巡视巡察</w:t>
      </w:r>
      <w:r>
        <w:rPr>
          <w:rFonts w:hint="eastAsia" w:ascii="仿宋_GB2312" w:hAnsi="宋体" w:eastAsia="仿宋_GB2312" w:cs="宋体"/>
          <w:b w:val="0"/>
          <w:bCs w:val="0"/>
          <w:color w:val="000000"/>
          <w:sz w:val="32"/>
          <w:szCs w:val="32"/>
        </w:rPr>
        <w:t>给公司负面影响以及需进行整改的，</w:t>
      </w:r>
      <w:r>
        <w:rPr>
          <w:rFonts w:hint="eastAsia" w:ascii="仿宋_GB2312" w:hAnsi="宋体" w:eastAsia="仿宋_GB2312" w:cs="宋体"/>
          <w:b w:val="0"/>
          <w:bCs w:val="0"/>
          <w:color w:val="000000"/>
          <w:sz w:val="32"/>
          <w:szCs w:val="32"/>
          <w:lang w:val="en-US" w:eastAsia="zh-CN"/>
        </w:rPr>
        <w:t>视问题严重情况</w:t>
      </w:r>
      <w:r>
        <w:rPr>
          <w:rFonts w:hint="eastAsia" w:ascii="仿宋_GB2312" w:hAnsi="宋体" w:eastAsia="仿宋_GB2312" w:cs="宋体"/>
          <w:b w:val="0"/>
          <w:bCs w:val="0"/>
          <w:color w:val="000000"/>
          <w:sz w:val="32"/>
          <w:szCs w:val="32"/>
        </w:rPr>
        <w:t>公司将进行追责。</w:t>
      </w:r>
    </w:p>
    <w:p w14:paraId="584939D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一</w:t>
      </w:r>
      <w:r>
        <w:rPr>
          <w:rFonts w:hint="eastAsia" w:ascii="仿宋_GB2312" w:hAnsi="宋体" w:eastAsia="仿宋_GB2312" w:cs="宋体"/>
          <w:b w:val="0"/>
          <w:bCs w:val="0"/>
          <w:color w:val="000000"/>
          <w:sz w:val="32"/>
          <w:szCs w:val="32"/>
        </w:rPr>
        <w:t xml:space="preserve">条 </w:t>
      </w:r>
      <w:r>
        <w:rPr>
          <w:rFonts w:hint="eastAsia" w:ascii="仿宋_GB2312" w:hAnsi="宋体" w:eastAsia="仿宋_GB2312" w:cs="宋体"/>
          <w:b w:val="0"/>
          <w:bCs w:val="0"/>
          <w:color w:val="000000"/>
          <w:sz w:val="32"/>
          <w:szCs w:val="32"/>
          <w:lang w:val="zh-CN"/>
        </w:rPr>
        <w:t>索酬</w:t>
      </w:r>
      <w:r>
        <w:rPr>
          <w:rFonts w:hint="eastAsia" w:ascii="仿宋_GB2312" w:hAnsi="宋体" w:eastAsia="仿宋_GB2312" w:cs="宋体"/>
          <w:b w:val="0"/>
          <w:bCs w:val="0"/>
          <w:color w:val="000000"/>
          <w:sz w:val="32"/>
          <w:szCs w:val="32"/>
        </w:rPr>
        <w:t>理赔联责考核</w:t>
      </w:r>
    </w:p>
    <w:p w14:paraId="0C3CFB0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lang w:val="zh-CN"/>
        </w:rPr>
        <w:t>（</w:t>
      </w:r>
      <w:r>
        <w:rPr>
          <w:rFonts w:hint="eastAsia" w:ascii="楷体_GB2312" w:hAnsi="楷体_GB2312" w:eastAsia="楷体_GB2312" w:cs="楷体_GB2312"/>
          <w:b w:val="0"/>
          <w:bCs w:val="0"/>
          <w:color w:val="000000"/>
          <w:sz w:val="32"/>
          <w:szCs w:val="32"/>
        </w:rPr>
        <w:t>一</w:t>
      </w:r>
      <w:r>
        <w:rPr>
          <w:rFonts w:hint="eastAsia" w:ascii="楷体_GB2312" w:hAnsi="楷体_GB2312" w:eastAsia="楷体_GB2312" w:cs="楷体_GB2312"/>
          <w:b w:val="0"/>
          <w:bCs w:val="0"/>
          <w:color w:val="000000"/>
          <w:sz w:val="32"/>
          <w:szCs w:val="32"/>
          <w:lang w:val="zh-CN"/>
        </w:rPr>
        <w:t>）索酬理赔</w:t>
      </w:r>
      <w:r>
        <w:rPr>
          <w:rFonts w:hint="eastAsia" w:ascii="楷体_GB2312" w:hAnsi="楷体_GB2312" w:eastAsia="楷体_GB2312" w:cs="楷体_GB2312"/>
          <w:b w:val="0"/>
          <w:bCs w:val="0"/>
          <w:color w:val="000000"/>
          <w:sz w:val="32"/>
          <w:szCs w:val="32"/>
        </w:rPr>
        <w:t>方式：</w:t>
      </w:r>
      <w:r>
        <w:rPr>
          <w:rFonts w:hint="eastAsia" w:ascii="仿宋_GB2312" w:hAnsi="宋体" w:eastAsia="仿宋_GB2312" w:cs="宋体"/>
          <w:b w:val="0"/>
          <w:bCs w:val="0"/>
          <w:color w:val="000000"/>
          <w:sz w:val="32"/>
          <w:szCs w:val="32"/>
          <w:lang w:val="zh-CN"/>
        </w:rPr>
        <w:t>对一个运作主体</w:t>
      </w:r>
      <w:r>
        <w:rPr>
          <w:rFonts w:hint="eastAsia" w:ascii="仿宋_GB2312" w:hAnsi="宋体" w:eastAsia="仿宋_GB2312" w:cs="宋体"/>
          <w:b w:val="0"/>
          <w:bCs w:val="0"/>
          <w:color w:val="000000"/>
          <w:sz w:val="32"/>
          <w:szCs w:val="32"/>
        </w:rPr>
        <w:t>或</w:t>
      </w:r>
      <w:r>
        <w:rPr>
          <w:rFonts w:hint="eastAsia" w:ascii="仿宋_GB2312" w:hAnsi="宋体" w:eastAsia="仿宋_GB2312" w:cs="宋体"/>
          <w:b w:val="0"/>
          <w:bCs w:val="0"/>
          <w:color w:val="000000"/>
          <w:sz w:val="32"/>
          <w:szCs w:val="32"/>
          <w:lang w:val="zh-CN"/>
        </w:rPr>
        <w:t>多个主体</w:t>
      </w:r>
      <w:r>
        <w:rPr>
          <w:rFonts w:hint="eastAsia" w:ascii="仿宋_GB2312" w:hAnsi="宋体" w:eastAsia="仿宋_GB2312" w:cs="宋体"/>
          <w:b w:val="0"/>
          <w:bCs w:val="0"/>
          <w:color w:val="000000"/>
          <w:sz w:val="32"/>
          <w:szCs w:val="32"/>
        </w:rPr>
        <w:t>进行</w:t>
      </w:r>
      <w:r>
        <w:rPr>
          <w:rFonts w:hint="eastAsia" w:ascii="仿宋_GB2312" w:hAnsi="宋体" w:eastAsia="仿宋_GB2312" w:cs="宋体"/>
          <w:b w:val="0"/>
          <w:bCs w:val="0"/>
          <w:color w:val="000000"/>
          <w:sz w:val="32"/>
          <w:szCs w:val="32"/>
          <w:lang w:val="zh-CN"/>
        </w:rPr>
        <w:t>索酬理赔。</w:t>
      </w:r>
    </w:p>
    <w:p w14:paraId="1BA5578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eastAsia="zh-CN"/>
        </w:rPr>
      </w:pPr>
      <w:r>
        <w:rPr>
          <w:rFonts w:hint="eastAsia" w:ascii="楷体_GB2312" w:hAnsi="楷体_GB2312" w:eastAsia="楷体_GB2312" w:cs="楷体_GB2312"/>
          <w:b w:val="0"/>
          <w:bCs w:val="0"/>
          <w:color w:val="000000"/>
          <w:sz w:val="32"/>
          <w:szCs w:val="32"/>
          <w:lang w:val="zh-CN"/>
        </w:rPr>
        <w:t>（</w:t>
      </w:r>
      <w:r>
        <w:rPr>
          <w:rFonts w:hint="eastAsia" w:ascii="楷体_GB2312" w:hAnsi="楷体_GB2312" w:eastAsia="楷体_GB2312" w:cs="楷体_GB2312"/>
          <w:b w:val="0"/>
          <w:bCs w:val="0"/>
          <w:color w:val="000000"/>
          <w:sz w:val="32"/>
          <w:szCs w:val="32"/>
        </w:rPr>
        <w:t>二</w:t>
      </w:r>
      <w:r>
        <w:rPr>
          <w:rFonts w:hint="eastAsia" w:ascii="楷体_GB2312" w:hAnsi="楷体_GB2312" w:eastAsia="楷体_GB2312" w:cs="楷体_GB2312"/>
          <w:b w:val="0"/>
          <w:bCs w:val="0"/>
          <w:color w:val="000000"/>
          <w:sz w:val="32"/>
          <w:szCs w:val="32"/>
          <w:lang w:val="zh-CN"/>
        </w:rPr>
        <w:t>）索酬理赔标准：</w:t>
      </w:r>
      <w:r>
        <w:rPr>
          <w:rFonts w:hint="eastAsia" w:ascii="仿宋_GB2312" w:hAnsi="宋体" w:eastAsia="仿宋_GB2312" w:cs="宋体"/>
          <w:b w:val="0"/>
          <w:bCs w:val="0"/>
          <w:color w:val="000000"/>
          <w:sz w:val="32"/>
          <w:szCs w:val="32"/>
          <w:lang w:val="en-US" w:eastAsia="zh-CN"/>
        </w:rPr>
        <w:t>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lang w:val="en-US" w:eastAsia="zh-CN"/>
        </w:rPr>
        <w:t>按照安全1号文</w:t>
      </w:r>
      <w:r>
        <w:rPr>
          <w:rFonts w:hint="eastAsia" w:ascii="仿宋_GB2312" w:hAnsi="宋体" w:eastAsia="仿宋_GB2312" w:cs="宋体"/>
          <w:b w:val="0"/>
          <w:bCs w:val="0"/>
          <w:color w:val="000000"/>
          <w:sz w:val="32"/>
          <w:szCs w:val="32"/>
        </w:rPr>
        <w:t>提供追查报告及相关考核处罚</w:t>
      </w:r>
      <w:r>
        <w:rPr>
          <w:rFonts w:hint="eastAsia" w:ascii="仿宋_GB2312" w:hAnsi="宋体" w:eastAsia="仿宋_GB2312" w:cs="宋体"/>
          <w:b w:val="0"/>
          <w:bCs w:val="0"/>
          <w:color w:val="000000"/>
          <w:sz w:val="32"/>
          <w:szCs w:val="32"/>
          <w:lang w:val="en-US" w:eastAsia="zh-CN"/>
        </w:rPr>
        <w:t>额</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zh-CN"/>
        </w:rPr>
        <w:t>对超过的可提交公司</w:t>
      </w:r>
      <w:r>
        <w:rPr>
          <w:rFonts w:hint="eastAsia" w:ascii="仿宋_GB2312" w:hAnsi="宋体" w:eastAsia="仿宋_GB2312" w:cs="宋体"/>
          <w:b w:val="0"/>
          <w:bCs w:val="0"/>
          <w:color w:val="000000"/>
          <w:sz w:val="32"/>
          <w:szCs w:val="32"/>
        </w:rPr>
        <w:t>领导小组</w:t>
      </w:r>
      <w:r>
        <w:rPr>
          <w:rFonts w:hint="eastAsia" w:ascii="仿宋_GB2312" w:hAnsi="宋体" w:eastAsia="仿宋_GB2312" w:cs="宋体"/>
          <w:b w:val="0"/>
          <w:bCs w:val="0"/>
          <w:color w:val="000000"/>
          <w:sz w:val="32"/>
          <w:szCs w:val="32"/>
          <w:lang w:val="zh-CN"/>
        </w:rPr>
        <w:t>裁</w:t>
      </w:r>
      <w:r>
        <w:rPr>
          <w:rFonts w:hint="eastAsia" w:ascii="仿宋_GB2312" w:hAnsi="宋体" w:eastAsia="仿宋_GB2312" w:cs="宋体"/>
          <w:b w:val="0"/>
          <w:bCs w:val="0"/>
          <w:color w:val="000000"/>
          <w:sz w:val="32"/>
          <w:szCs w:val="32"/>
        </w:rPr>
        <w:t>定。</w:t>
      </w:r>
    </w:p>
    <w:p w14:paraId="5A24E4E4">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lang w:val="zh-CN"/>
        </w:rPr>
      </w:pPr>
      <w:r>
        <w:rPr>
          <w:rFonts w:hint="eastAsia" w:ascii="楷体_GB2312" w:hAnsi="楷体_GB2312" w:eastAsia="楷体_GB2312" w:cs="楷体_GB2312"/>
          <w:b w:val="0"/>
          <w:bCs w:val="0"/>
          <w:color w:val="000000"/>
          <w:sz w:val="32"/>
          <w:szCs w:val="32"/>
        </w:rPr>
        <w:t>（三）</w:t>
      </w:r>
      <w:r>
        <w:rPr>
          <w:rFonts w:hint="eastAsia" w:ascii="楷体_GB2312" w:hAnsi="楷体_GB2312" w:eastAsia="楷体_GB2312" w:cs="楷体_GB2312"/>
          <w:b w:val="0"/>
          <w:bCs w:val="0"/>
          <w:color w:val="000000"/>
          <w:sz w:val="32"/>
          <w:szCs w:val="32"/>
          <w:lang w:val="zh-CN"/>
        </w:rPr>
        <w:t>索酬理赔</w:t>
      </w:r>
      <w:r>
        <w:rPr>
          <w:rFonts w:hint="eastAsia" w:ascii="楷体_GB2312" w:hAnsi="楷体_GB2312" w:eastAsia="楷体_GB2312" w:cs="楷体_GB2312"/>
          <w:b w:val="0"/>
          <w:bCs w:val="0"/>
          <w:color w:val="000000"/>
          <w:sz w:val="32"/>
          <w:szCs w:val="32"/>
        </w:rPr>
        <w:t>形式</w:t>
      </w:r>
      <w:r>
        <w:rPr>
          <w:rFonts w:hint="eastAsia" w:ascii="楷体_GB2312" w:hAnsi="楷体_GB2312" w:eastAsia="楷体_GB2312" w:cs="楷体_GB2312"/>
          <w:b w:val="0"/>
          <w:bCs w:val="0"/>
          <w:color w:val="000000"/>
          <w:sz w:val="32"/>
          <w:szCs w:val="32"/>
          <w:lang w:val="zh-CN"/>
        </w:rPr>
        <w:t>：</w:t>
      </w:r>
    </w:p>
    <w:p w14:paraId="546DEB4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1.外部检查处罚联责考核。月度受到上级行政部门（含集团公司）行政处罚</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追查上报。</w:t>
      </w:r>
    </w:p>
    <w:p w14:paraId="17E6C9B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2.设备运行完好联责考核。由于本部门（或车间）管理原因造成本车间系统减负荷或停车，由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追查上报当期事故影响索赔确定额。</w:t>
      </w:r>
    </w:p>
    <w:p w14:paraId="0BD57F0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3.生产工艺系统稳定运行联责考核。由于管理原因造成系统减负荷或停车，由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追查上报当期事故影响索赔确定额。</w:t>
      </w:r>
    </w:p>
    <w:p w14:paraId="1876C13B">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4.其他因素联责考核。不在以上规定范围的其他原因造成影响生产</w:t>
      </w:r>
      <w:r>
        <w:rPr>
          <w:rFonts w:hint="eastAsia" w:ascii="仿宋_GB2312" w:hAnsi="宋体" w:eastAsia="仿宋_GB2312" w:cs="宋体"/>
          <w:b w:val="0"/>
          <w:bCs w:val="0"/>
          <w:color w:val="000000"/>
          <w:sz w:val="32"/>
          <w:szCs w:val="32"/>
          <w:lang w:eastAsia="zh-CN"/>
        </w:rPr>
        <w:t>的</w:t>
      </w:r>
      <w:r>
        <w:rPr>
          <w:rFonts w:hint="eastAsia" w:ascii="仿宋_GB2312" w:hAnsi="宋体" w:eastAsia="仿宋_GB2312" w:cs="宋体"/>
          <w:b w:val="0"/>
          <w:bCs w:val="0"/>
          <w:color w:val="000000"/>
          <w:sz w:val="32"/>
          <w:szCs w:val="32"/>
        </w:rPr>
        <w:t>损失的，由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追查上报当期事故影响索赔确定额。</w:t>
      </w:r>
    </w:p>
    <w:p w14:paraId="1EDFA2D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楷体_GB2312" w:hAnsi="楷体_GB2312" w:eastAsia="楷体_GB2312" w:cs="楷体_GB2312"/>
          <w:b w:val="0"/>
          <w:bCs w:val="0"/>
          <w:color w:val="000000"/>
          <w:sz w:val="32"/>
          <w:szCs w:val="32"/>
          <w:lang w:val="zh-CN"/>
        </w:rPr>
        <w:t>（</w:t>
      </w:r>
      <w:r>
        <w:rPr>
          <w:rFonts w:hint="eastAsia" w:ascii="楷体_GB2312" w:hAnsi="楷体_GB2312" w:eastAsia="楷体_GB2312" w:cs="楷体_GB2312"/>
          <w:b w:val="0"/>
          <w:bCs w:val="0"/>
          <w:color w:val="000000"/>
          <w:sz w:val="32"/>
          <w:szCs w:val="32"/>
        </w:rPr>
        <w:t>四</w:t>
      </w:r>
      <w:r>
        <w:rPr>
          <w:rFonts w:hint="eastAsia" w:ascii="楷体_GB2312" w:hAnsi="楷体_GB2312" w:eastAsia="楷体_GB2312" w:cs="楷体_GB2312"/>
          <w:b w:val="0"/>
          <w:bCs w:val="0"/>
          <w:color w:val="000000"/>
          <w:sz w:val="32"/>
          <w:szCs w:val="32"/>
          <w:lang w:val="zh-CN"/>
        </w:rPr>
        <w:t>）索酬理赔</w:t>
      </w:r>
      <w:r>
        <w:rPr>
          <w:rFonts w:hint="eastAsia" w:ascii="楷体_GB2312" w:hAnsi="楷体_GB2312" w:eastAsia="楷体_GB2312" w:cs="楷体_GB2312"/>
          <w:b w:val="0"/>
          <w:bCs w:val="0"/>
          <w:color w:val="000000"/>
          <w:sz w:val="32"/>
          <w:szCs w:val="32"/>
        </w:rPr>
        <w:t>主导单位。</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负责</w:t>
      </w:r>
      <w:r>
        <w:rPr>
          <w:rFonts w:hint="eastAsia" w:ascii="仿宋_GB2312" w:hAnsi="宋体" w:eastAsia="仿宋_GB2312" w:cs="宋体"/>
          <w:b w:val="0"/>
          <w:bCs w:val="0"/>
          <w:color w:val="000000"/>
          <w:sz w:val="32"/>
          <w:szCs w:val="32"/>
          <w:lang w:val="zh-CN"/>
        </w:rPr>
        <w:t>事件调查、核实，以索酬理赔标准计算出理赔数额，确定赔偿单位，负责索酬理赔工作的落实；</w:t>
      </w:r>
      <w:r>
        <w:rPr>
          <w:rFonts w:hint="eastAsia" w:ascii="仿宋_GB2312" w:hAnsi="宋体" w:eastAsia="仿宋_GB2312" w:cs="宋体"/>
          <w:b w:val="0"/>
          <w:bCs w:val="0"/>
          <w:color w:val="000000"/>
          <w:sz w:val="32"/>
          <w:szCs w:val="32"/>
        </w:rPr>
        <w:t>并出具事后追查索赔分析报告</w:t>
      </w:r>
      <w:r>
        <w:rPr>
          <w:rFonts w:hint="eastAsia" w:ascii="仿宋_GB2312" w:hAnsi="宋体" w:eastAsia="仿宋_GB2312" w:cs="宋体"/>
          <w:b w:val="0"/>
          <w:bCs w:val="0"/>
          <w:color w:val="000000"/>
          <w:sz w:val="32"/>
          <w:szCs w:val="32"/>
          <w:lang w:val="zh-CN"/>
        </w:rPr>
        <w:t>。</w:t>
      </w:r>
    </w:p>
    <w:p w14:paraId="3B89474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二</w:t>
      </w:r>
      <w:r>
        <w:rPr>
          <w:rFonts w:hint="eastAsia" w:ascii="仿宋_GB2312" w:hAnsi="宋体" w:eastAsia="仿宋_GB2312" w:cs="宋体"/>
          <w:b w:val="0"/>
          <w:bCs w:val="0"/>
          <w:color w:val="000000"/>
          <w:sz w:val="32"/>
          <w:szCs w:val="32"/>
        </w:rPr>
        <w:t>条 计量验收联责考核</w:t>
      </w:r>
    </w:p>
    <w:p w14:paraId="1C7F3D5E">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b w:val="0"/>
          <w:bCs w:val="0"/>
          <w:color w:val="000000"/>
          <w:sz w:val="32"/>
          <w:szCs w:val="32"/>
        </w:rPr>
      </w:pPr>
      <w:r>
        <w:rPr>
          <w:rFonts w:hint="eastAsia" w:ascii="楷体_GB2312" w:hAnsi="楷体_GB2312" w:eastAsia="楷体_GB2312" w:cs="楷体_GB2312"/>
          <w:b w:val="0"/>
          <w:bCs w:val="0"/>
          <w:color w:val="000000"/>
          <w:sz w:val="32"/>
          <w:szCs w:val="32"/>
          <w:lang w:val="zh-CN"/>
        </w:rPr>
        <w:t>（</w:t>
      </w:r>
      <w:r>
        <w:rPr>
          <w:rFonts w:hint="eastAsia" w:ascii="楷体_GB2312" w:hAnsi="楷体_GB2312" w:eastAsia="楷体_GB2312" w:cs="楷体_GB2312"/>
          <w:b w:val="0"/>
          <w:bCs w:val="0"/>
          <w:color w:val="000000"/>
          <w:sz w:val="32"/>
          <w:szCs w:val="32"/>
        </w:rPr>
        <w:t>一</w:t>
      </w:r>
      <w:r>
        <w:rPr>
          <w:rFonts w:hint="eastAsia" w:ascii="楷体_GB2312" w:hAnsi="楷体_GB2312" w:eastAsia="楷体_GB2312" w:cs="楷体_GB2312"/>
          <w:b w:val="0"/>
          <w:bCs w:val="0"/>
          <w:color w:val="000000"/>
          <w:sz w:val="32"/>
          <w:szCs w:val="32"/>
          <w:lang w:val="zh-CN"/>
        </w:rPr>
        <w:t>）</w:t>
      </w:r>
      <w:r>
        <w:rPr>
          <w:rFonts w:hint="eastAsia" w:ascii="楷体_GB2312" w:hAnsi="楷体_GB2312" w:eastAsia="楷体_GB2312" w:cs="楷体_GB2312"/>
          <w:b w:val="0"/>
          <w:bCs w:val="0"/>
          <w:color w:val="000000"/>
          <w:sz w:val="32"/>
          <w:szCs w:val="32"/>
        </w:rPr>
        <w:t>验收范围及确认</w:t>
      </w:r>
    </w:p>
    <w:p w14:paraId="5861EDD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lang w:val="zh-CN"/>
        </w:rPr>
        <w:t>1</w:t>
      </w:r>
      <w:r>
        <w:rPr>
          <w:rFonts w:hint="eastAsia" w:ascii="仿宋_GB2312" w:hAnsi="宋体" w:eastAsia="仿宋_GB2312" w:cs="宋体"/>
          <w:b w:val="0"/>
          <w:bCs w:val="0"/>
          <w:color w:val="000000"/>
          <w:sz w:val="32"/>
          <w:szCs w:val="32"/>
        </w:rPr>
        <w:t>.甲醇产量由仪表车间、销售采购部</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lang w:val="en-US" w:eastAsia="zh-CN"/>
        </w:rPr>
        <w:t>净化合成车间</w:t>
      </w:r>
      <w:r>
        <w:rPr>
          <w:rFonts w:hint="eastAsia" w:ascii="仿宋_GB2312" w:hAnsi="宋体" w:eastAsia="仿宋_GB2312" w:cs="宋体"/>
          <w:b w:val="0"/>
          <w:bCs w:val="0"/>
          <w:color w:val="000000"/>
          <w:sz w:val="32"/>
          <w:szCs w:val="32"/>
        </w:rPr>
        <w:t>等单位月底根据采购量、库存量、消耗量验收</w:t>
      </w:r>
      <w:r>
        <w:rPr>
          <w:rFonts w:hint="eastAsia" w:ascii="仿宋_GB2312" w:hAnsi="宋体" w:eastAsia="仿宋_GB2312" w:cs="宋体"/>
          <w:b w:val="0"/>
          <w:bCs w:val="0"/>
          <w:color w:val="000000"/>
          <w:sz w:val="32"/>
          <w:szCs w:val="32"/>
          <w:lang w:eastAsia="zh-CN"/>
        </w:rPr>
        <w:t>，由</w:t>
      </w:r>
      <w:r>
        <w:rPr>
          <w:rFonts w:hint="eastAsia" w:ascii="仿宋_GB2312" w:hAnsi="宋体" w:eastAsia="仿宋_GB2312" w:cs="宋体"/>
          <w:b w:val="0"/>
          <w:bCs w:val="0"/>
          <w:color w:val="000000"/>
          <w:sz w:val="32"/>
          <w:szCs w:val="32"/>
        </w:rPr>
        <w:t>生产技术部负责监督、检查、签字，并出具产量收发存验收报表；报总工程师审查、签批。</w:t>
      </w:r>
    </w:p>
    <w:p w14:paraId="3FEDBE1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lang w:val="zh-CN"/>
        </w:rPr>
        <w:t>2</w:t>
      </w:r>
      <w:r>
        <w:rPr>
          <w:rFonts w:hint="eastAsia" w:ascii="仿宋_GB2312" w:hAnsi="宋体" w:eastAsia="仿宋_GB2312" w:cs="宋体"/>
          <w:b w:val="0"/>
          <w:bCs w:val="0"/>
          <w:color w:val="000000"/>
          <w:sz w:val="32"/>
          <w:szCs w:val="32"/>
        </w:rPr>
        <w:t>.煤炭消耗由气化车间（原料煤）、动力车间（动力煤）、仪表车间、销售采购部等单位月底根据采购量、库存量、消耗量验收，生产技术部负责监督、检查、签字，并出具收发存验收报表；报总工程师审查、签批。</w:t>
      </w:r>
    </w:p>
    <w:p w14:paraId="1EA1B38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仿宋_GB2312" w:hAnsi="宋体" w:eastAsia="仿宋_GB2312" w:cs="宋体"/>
          <w:b w:val="0"/>
          <w:bCs w:val="0"/>
          <w:color w:val="000000"/>
          <w:sz w:val="32"/>
          <w:szCs w:val="32"/>
          <w:lang w:val="zh-CN"/>
        </w:rPr>
        <w:t>3</w:t>
      </w:r>
      <w:r>
        <w:rPr>
          <w:rFonts w:hint="eastAsia" w:ascii="仿宋_GB2312" w:hAnsi="宋体" w:eastAsia="仿宋_GB2312" w:cs="宋体"/>
          <w:b w:val="0"/>
          <w:bCs w:val="0"/>
          <w:color w:val="000000"/>
          <w:sz w:val="32"/>
          <w:szCs w:val="32"/>
        </w:rPr>
        <w:t>.副产品由动力车间（液氨）、净化车间（硫磺）、空分车间（液氮）等单位月底根据计量验收</w:t>
      </w:r>
      <w:r>
        <w:rPr>
          <w:rFonts w:hint="eastAsia" w:ascii="仿宋_GB2312" w:hAnsi="宋体" w:eastAsia="仿宋_GB2312" w:cs="宋体"/>
          <w:b w:val="0"/>
          <w:bCs w:val="0"/>
          <w:color w:val="000000"/>
          <w:sz w:val="32"/>
          <w:szCs w:val="32"/>
          <w:lang w:eastAsia="zh-CN"/>
        </w:rPr>
        <w:t>，由</w:t>
      </w:r>
      <w:r>
        <w:rPr>
          <w:rFonts w:hint="eastAsia" w:ascii="仿宋_GB2312" w:hAnsi="宋体" w:eastAsia="仿宋_GB2312" w:cs="宋体"/>
          <w:b w:val="0"/>
          <w:bCs w:val="0"/>
          <w:color w:val="000000"/>
          <w:sz w:val="32"/>
          <w:szCs w:val="32"/>
        </w:rPr>
        <w:t>生产技术部负责监督、检查、签字，并出具验收报表，报总工程师审查、签批。</w:t>
      </w:r>
    </w:p>
    <w:p w14:paraId="3C6FEBC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仿宋_GB2312" w:hAnsi="宋体" w:eastAsia="仿宋_GB2312" w:cs="宋体"/>
          <w:b w:val="0"/>
          <w:bCs w:val="0"/>
          <w:color w:val="000000"/>
          <w:sz w:val="32"/>
          <w:szCs w:val="32"/>
        </w:rPr>
        <w:t>4.中间产品由动力车间（蒸汽）、净化车间（粗甲醇、净化气）、空分车间（氧气）、气化车间（煤浆浓度）、水处理车间（脱盐水）、仪表车间等单位月底根据计量验收，生产技术部负责监督、检查、签字，并出具验收报表，报总工程师审查、签批。</w:t>
      </w:r>
    </w:p>
    <w:p w14:paraId="2CB3EBB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仿宋_GB2312" w:hAnsi="宋体" w:eastAsia="仿宋_GB2312" w:cs="宋体"/>
          <w:b w:val="0"/>
          <w:bCs w:val="0"/>
          <w:color w:val="000000"/>
          <w:sz w:val="32"/>
          <w:szCs w:val="32"/>
        </w:rPr>
        <w:t>5.二级电量消耗</w:t>
      </w:r>
      <w:r>
        <w:rPr>
          <w:rFonts w:hint="eastAsia" w:ascii="仿宋_GB2312" w:hAnsi="宋体" w:eastAsia="仿宋_GB2312" w:cs="宋体"/>
          <w:b w:val="0"/>
          <w:bCs w:val="0"/>
          <w:color w:val="000000"/>
          <w:sz w:val="32"/>
          <w:szCs w:val="32"/>
          <w:lang w:val="zh-CN"/>
        </w:rPr>
        <w:t>由</w:t>
      </w:r>
      <w:r>
        <w:rPr>
          <w:rFonts w:hint="eastAsia" w:ascii="仿宋_GB2312" w:hAnsi="宋体" w:eastAsia="仿宋_GB2312" w:cs="宋体"/>
          <w:b w:val="0"/>
          <w:bCs w:val="0"/>
          <w:color w:val="000000"/>
          <w:sz w:val="32"/>
          <w:szCs w:val="32"/>
        </w:rPr>
        <w:t>电气车间负责，根据本月额定电量</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本月考核点实抄电量，由车间、部门签字确认，并出具电量消耗报表</w:t>
      </w:r>
      <w:r>
        <w:rPr>
          <w:rFonts w:hint="eastAsia" w:ascii="仿宋_GB2312" w:hAnsi="宋体" w:eastAsia="仿宋_GB2312" w:cs="宋体"/>
          <w:b w:val="0"/>
          <w:bCs w:val="0"/>
          <w:color w:val="000000"/>
          <w:sz w:val="32"/>
          <w:szCs w:val="32"/>
          <w:lang w:val="zh-CN"/>
        </w:rPr>
        <w:t>。</w:t>
      </w:r>
    </w:p>
    <w:p w14:paraId="0D66591F">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zh-CN"/>
        </w:rPr>
      </w:pPr>
      <w:r>
        <w:rPr>
          <w:rFonts w:hint="eastAsia" w:ascii="仿宋_GB2312" w:hAnsi="宋体" w:eastAsia="仿宋_GB2312" w:cs="宋体"/>
          <w:b w:val="0"/>
          <w:bCs w:val="0"/>
          <w:color w:val="000000"/>
          <w:sz w:val="32"/>
          <w:szCs w:val="32"/>
        </w:rPr>
        <w:t>6.原水消耗由水处理车间负责，根据上月抄表数</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本月考核点实抄数，由车间、部门签字确认，并出具用量消耗报表</w:t>
      </w:r>
      <w:r>
        <w:rPr>
          <w:rFonts w:hint="eastAsia" w:ascii="仿宋_GB2312" w:hAnsi="宋体" w:eastAsia="仿宋_GB2312" w:cs="宋体"/>
          <w:b w:val="0"/>
          <w:bCs w:val="0"/>
          <w:color w:val="000000"/>
          <w:sz w:val="32"/>
          <w:szCs w:val="32"/>
          <w:lang w:val="zh-CN"/>
        </w:rPr>
        <w:t>。</w:t>
      </w:r>
    </w:p>
    <w:p w14:paraId="2A75AFF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7.</w:t>
      </w:r>
      <w:r>
        <w:rPr>
          <w:rFonts w:hint="eastAsia" w:ascii="仿宋_GB2312" w:hAnsi="宋体" w:eastAsia="仿宋_GB2312" w:cs="宋体"/>
          <w:b w:val="0"/>
          <w:bCs w:val="0"/>
          <w:color w:val="000000"/>
          <w:sz w:val="32"/>
          <w:szCs w:val="32"/>
          <w:lang w:val="zh-CN"/>
        </w:rPr>
        <w:t>各项计量质量验收结果由各组负责单位于每月</w:t>
      </w:r>
      <w:r>
        <w:rPr>
          <w:rFonts w:hint="eastAsia" w:ascii="仿宋_GB2312" w:hAnsi="宋体" w:eastAsia="仿宋_GB2312" w:cs="宋体"/>
          <w:b w:val="0"/>
          <w:bCs w:val="0"/>
          <w:color w:val="000000"/>
          <w:sz w:val="32"/>
          <w:szCs w:val="32"/>
        </w:rPr>
        <w:t>28</w:t>
      </w:r>
      <w:r>
        <w:rPr>
          <w:rFonts w:hint="eastAsia" w:ascii="仿宋_GB2312" w:hAnsi="宋体" w:eastAsia="仿宋_GB2312" w:cs="宋体"/>
          <w:b w:val="0"/>
          <w:bCs w:val="0"/>
          <w:color w:val="000000"/>
          <w:sz w:val="32"/>
          <w:szCs w:val="32"/>
          <w:lang w:val="zh-CN"/>
        </w:rPr>
        <w:t>日前报送</w:t>
      </w:r>
      <w:r>
        <w:rPr>
          <w:rFonts w:hint="eastAsia" w:ascii="仿宋_GB2312" w:hAnsi="宋体" w:eastAsia="仿宋_GB2312" w:cs="宋体"/>
          <w:b w:val="0"/>
          <w:bCs w:val="0"/>
          <w:color w:val="000000"/>
          <w:sz w:val="32"/>
          <w:szCs w:val="32"/>
        </w:rPr>
        <w:t>考核办，周末延顺。</w:t>
      </w:r>
    </w:p>
    <w:p w14:paraId="7FED397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计量验收数据一次不准、未汇报、未签字，影响结算，扣主要人员绩效工资200元/次。日常数据检查通报由</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做好记录，作为管理人员考核扣分项。</w:t>
      </w:r>
    </w:p>
    <w:p w14:paraId="4AC1E7F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以上报表需经车间相关人员、部门负责人、</w:t>
      </w:r>
      <w:r>
        <w:rPr>
          <w:rFonts w:hint="eastAsia" w:ascii="仿宋_GB2312" w:hAnsi="宋体" w:eastAsia="仿宋_GB2312" w:cs="宋体"/>
          <w:b w:val="0"/>
          <w:bCs w:val="0"/>
          <w:color w:val="000000"/>
          <w:sz w:val="32"/>
          <w:szCs w:val="32"/>
          <w:lang w:eastAsia="zh-CN"/>
        </w:rPr>
        <w:t>调度指挥中心</w:t>
      </w:r>
      <w:r>
        <w:rPr>
          <w:rFonts w:hint="eastAsia" w:ascii="仿宋_GB2312" w:hAnsi="宋体" w:eastAsia="仿宋_GB2312" w:cs="宋体"/>
          <w:b w:val="0"/>
          <w:bCs w:val="0"/>
          <w:color w:val="000000"/>
          <w:sz w:val="32"/>
          <w:szCs w:val="32"/>
        </w:rPr>
        <w:t>负责人、总工程师签字确认。</w:t>
      </w:r>
    </w:p>
    <w:p w14:paraId="0BEDAE7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三</w:t>
      </w:r>
      <w:r>
        <w:rPr>
          <w:rFonts w:hint="eastAsia" w:ascii="仿宋_GB2312" w:hAnsi="宋体" w:eastAsia="仿宋_GB2312" w:cs="宋体"/>
          <w:b w:val="0"/>
          <w:bCs w:val="0"/>
          <w:color w:val="000000"/>
          <w:sz w:val="32"/>
          <w:szCs w:val="32"/>
        </w:rPr>
        <w:t>条 技术创新、技改技措。各部门（车间）或个人对安全生产、技术管理、设备管理、经营管理、环境保护、长远发展等方面存在的突出问题，提出改进意</w:t>
      </w:r>
      <w:r>
        <w:rPr>
          <w:rFonts w:hint="eastAsia" w:ascii="仿宋_GB2312" w:hAnsi="宋体" w:eastAsia="仿宋_GB2312" w:cs="宋体"/>
          <w:b w:val="0"/>
          <w:bCs w:val="0"/>
          <w:color w:val="000000"/>
          <w:sz w:val="32"/>
          <w:szCs w:val="32"/>
          <w:lang w:eastAsia="zh-CN"/>
        </w:rPr>
        <w:t>见和</w:t>
      </w:r>
      <w:r>
        <w:rPr>
          <w:rFonts w:hint="eastAsia" w:ascii="仿宋_GB2312" w:hAnsi="宋体" w:eastAsia="仿宋_GB2312" w:cs="宋体"/>
          <w:b w:val="0"/>
          <w:bCs w:val="0"/>
          <w:color w:val="000000"/>
          <w:sz w:val="32"/>
          <w:szCs w:val="32"/>
        </w:rPr>
        <w:t>建议。由总工程师定期召开合理化建议和科技创新成果可操作性，评定科技应用及成果转化项目。对部门不认真审查和审核合格且不履行技改技措的将追究部门及责任人，结果纳入综合考评。</w:t>
      </w:r>
    </w:p>
    <w:p w14:paraId="384A4DF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评选程序、办法、奖项设置等</w:t>
      </w:r>
      <w:r>
        <w:rPr>
          <w:rFonts w:hint="eastAsia" w:ascii="仿宋_GB2312" w:hAnsi="宋体" w:eastAsia="仿宋_GB2312" w:cs="宋体"/>
          <w:b w:val="0"/>
          <w:bCs w:val="0"/>
          <w:color w:val="000000"/>
          <w:sz w:val="32"/>
          <w:szCs w:val="32"/>
          <w:lang w:val="en-US" w:eastAsia="zh-CN"/>
        </w:rPr>
        <w:t>执行</w:t>
      </w:r>
      <w:r>
        <w:rPr>
          <w:rFonts w:hint="eastAsia" w:ascii="仿宋_GB2312" w:hAnsi="宋体" w:eastAsia="仿宋_GB2312" w:cs="宋体"/>
          <w:b w:val="0"/>
          <w:bCs w:val="0"/>
          <w:color w:val="000000"/>
          <w:sz w:val="32"/>
          <w:szCs w:val="32"/>
          <w:lang w:eastAsia="zh-CN"/>
        </w:rPr>
        <w:t>西北能化工组字【2026】2号《</w:t>
      </w:r>
      <w:r>
        <w:rPr>
          <w:rFonts w:hint="eastAsia" w:ascii="仿宋_GB2312" w:hAnsi="宋体" w:eastAsia="仿宋_GB2312" w:cs="宋体"/>
          <w:b w:val="0"/>
          <w:bCs w:val="0"/>
          <w:color w:val="000000"/>
          <w:sz w:val="32"/>
          <w:szCs w:val="32"/>
          <w:lang w:val="en-US" w:eastAsia="zh-CN"/>
        </w:rPr>
        <w:t>西北能化公司职工</w:t>
      </w:r>
      <w:r>
        <w:rPr>
          <w:rFonts w:hint="eastAsia" w:ascii="仿宋_GB2312" w:hAnsi="宋体" w:eastAsia="仿宋_GB2312" w:cs="宋体"/>
          <w:b w:val="0"/>
          <w:bCs w:val="0"/>
          <w:color w:val="000000"/>
          <w:sz w:val="32"/>
          <w:szCs w:val="32"/>
          <w:lang w:eastAsia="zh-CN"/>
        </w:rPr>
        <w:t>合理化建议和青工“五小”创新</w:t>
      </w:r>
      <w:r>
        <w:rPr>
          <w:rFonts w:hint="eastAsia" w:ascii="仿宋_GB2312" w:hAnsi="宋体" w:eastAsia="仿宋_GB2312" w:cs="宋体"/>
          <w:b w:val="0"/>
          <w:bCs w:val="0"/>
          <w:color w:val="000000"/>
          <w:sz w:val="32"/>
          <w:szCs w:val="32"/>
          <w:lang w:val="en-US" w:eastAsia="zh-CN"/>
        </w:rPr>
        <w:t>成果</w:t>
      </w:r>
      <w:r>
        <w:rPr>
          <w:rFonts w:hint="eastAsia" w:ascii="仿宋_GB2312" w:hAnsi="宋体" w:eastAsia="仿宋_GB2312" w:cs="宋体"/>
          <w:b w:val="0"/>
          <w:bCs w:val="0"/>
          <w:color w:val="000000"/>
          <w:sz w:val="32"/>
          <w:szCs w:val="32"/>
          <w:lang w:eastAsia="zh-CN"/>
        </w:rPr>
        <w:t>评选</w:t>
      </w:r>
      <w:r>
        <w:rPr>
          <w:rFonts w:hint="eastAsia" w:ascii="仿宋_GB2312" w:hAnsi="宋体" w:eastAsia="仿宋_GB2312" w:cs="宋体"/>
          <w:b w:val="0"/>
          <w:bCs w:val="0"/>
          <w:color w:val="000000"/>
          <w:sz w:val="32"/>
          <w:szCs w:val="32"/>
          <w:lang w:val="en-US" w:eastAsia="zh-CN"/>
        </w:rPr>
        <w:t>管理</w:t>
      </w:r>
      <w:r>
        <w:rPr>
          <w:rFonts w:hint="eastAsia" w:ascii="仿宋_GB2312" w:hAnsi="宋体" w:eastAsia="仿宋_GB2312" w:cs="宋体"/>
          <w:b w:val="0"/>
          <w:bCs w:val="0"/>
          <w:color w:val="000000"/>
          <w:sz w:val="32"/>
          <w:szCs w:val="32"/>
          <w:lang w:eastAsia="zh-CN"/>
        </w:rPr>
        <w:t>办法》的通知</w:t>
      </w:r>
      <w:r>
        <w:rPr>
          <w:rFonts w:hint="eastAsia" w:ascii="仿宋_GB2312" w:hAnsi="宋体" w:eastAsia="仿宋_GB2312" w:cs="宋体"/>
          <w:b w:val="0"/>
          <w:bCs w:val="0"/>
          <w:color w:val="000000"/>
          <w:sz w:val="32"/>
          <w:szCs w:val="32"/>
        </w:rPr>
        <w:t>执行</w:t>
      </w:r>
      <w:r>
        <w:rPr>
          <w:rFonts w:hint="eastAsia" w:ascii="仿宋_GB2312" w:hAnsi="宋体" w:eastAsia="仿宋_GB2312" w:cs="宋体"/>
          <w:b w:val="0"/>
          <w:bCs w:val="0"/>
          <w:color w:val="000000"/>
          <w:sz w:val="32"/>
          <w:szCs w:val="32"/>
          <w:lang w:eastAsia="zh-CN"/>
        </w:rPr>
        <w:t>。</w:t>
      </w:r>
    </w:p>
    <w:p w14:paraId="4EF8FE75">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lang w:val="en-US" w:eastAsia="zh-CN"/>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四</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计划创效责任清单。完成公司2026年计划创效责任清单创效任务，年度根据降本创效贡献额度，给予0.5%增加绩效工资，单项技改创效结算额度不超过3000元。</w:t>
      </w:r>
    </w:p>
    <w:p w14:paraId="41F7FC32">
      <w:pPr>
        <w:keepNext w:val="0"/>
        <w:keepLines w:val="0"/>
        <w:pageBreakBefore w:val="0"/>
        <w:wordWrap/>
        <w:overflowPunct/>
        <w:topLinePunct w:val="0"/>
        <w:bidi w:val="0"/>
        <w:spacing w:line="520" w:lineRule="exact"/>
        <w:ind w:firstLine="640" w:firstLineChars="200"/>
        <w:rPr>
          <w:rFonts w:hint="default" w:ascii="仿宋_GB2312" w:hAnsi="宋体" w:eastAsia="仿宋_GB2312" w:cs="宋体"/>
          <w:b w:val="0"/>
          <w:bCs w:val="0"/>
          <w:color w:val="000000"/>
          <w:sz w:val="32"/>
          <w:szCs w:val="32"/>
          <w:lang w:val="en-US" w:eastAsia="zh-CN"/>
        </w:rPr>
      </w:pPr>
      <w:r>
        <w:rPr>
          <w:rFonts w:hint="eastAsia" w:ascii="仿宋_GB2312" w:hAnsi="宋体" w:eastAsia="仿宋_GB2312" w:cs="宋体"/>
          <w:b w:val="0"/>
          <w:bCs w:val="0"/>
          <w:color w:val="000000"/>
          <w:sz w:val="32"/>
          <w:szCs w:val="32"/>
          <w:lang w:val="en-US" w:eastAsia="zh-CN"/>
        </w:rPr>
        <w:t>注：2026年计划创效责任清单列入合理化建议</w:t>
      </w:r>
      <w:r>
        <w:rPr>
          <w:rFonts w:hint="eastAsia" w:ascii="仿宋_GB2312" w:hAnsi="宋体" w:eastAsia="仿宋_GB2312" w:cs="宋体"/>
          <w:b w:val="0"/>
          <w:bCs w:val="0"/>
          <w:color w:val="000000"/>
          <w:sz w:val="32"/>
          <w:szCs w:val="32"/>
          <w:lang w:eastAsia="zh-CN"/>
        </w:rPr>
        <w:t>和青工“五小”创新</w:t>
      </w:r>
      <w:r>
        <w:rPr>
          <w:rFonts w:hint="eastAsia" w:ascii="仿宋_GB2312" w:hAnsi="宋体" w:eastAsia="仿宋_GB2312" w:cs="宋体"/>
          <w:b w:val="0"/>
          <w:bCs w:val="0"/>
          <w:color w:val="000000"/>
          <w:sz w:val="32"/>
          <w:szCs w:val="32"/>
          <w:lang w:val="en-US" w:eastAsia="zh-CN"/>
        </w:rPr>
        <w:t>成果并评选获奖或从公司其他政策获得奖励不在年度兑现范围。</w:t>
      </w:r>
    </w:p>
    <w:p w14:paraId="3D66648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五</w:t>
      </w:r>
      <w:r>
        <w:rPr>
          <w:rFonts w:hint="eastAsia" w:ascii="仿宋_GB2312" w:hAnsi="宋体" w:eastAsia="仿宋_GB2312" w:cs="宋体"/>
          <w:b w:val="0"/>
          <w:bCs w:val="0"/>
          <w:color w:val="000000"/>
          <w:sz w:val="32"/>
          <w:szCs w:val="32"/>
        </w:rPr>
        <w:t>条 成本分析的方法和内容</w:t>
      </w:r>
    </w:p>
    <w:p w14:paraId="1C2BDBF9">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数据分析小组要准确研判当前工作形势，要深挖内潜、亮点突出、数据详实进行分析，深入剖析生产经营管理中存在的问题，制定有力的措施，进一步提升成本管理水平。</w:t>
      </w:r>
    </w:p>
    <w:p w14:paraId="59A2B12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（一）成本分析选择比较法，即指标对比分析法，包括与预算对比，与同期对比。</w:t>
      </w:r>
    </w:p>
    <w:p w14:paraId="5172186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（二）数据分析小组负责日常安全生产、工艺管控与消耗费用的分析和上报工作；负责提炼管理过程中好的做法及取得的成效、生产经营过程中重大事项变更与投入、总结存在的问题及下一步采取的措施等。 </w:t>
      </w:r>
    </w:p>
    <w:p w14:paraId="211E0F7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（三）成本分析的内容：</w:t>
      </w:r>
    </w:p>
    <w:p w14:paraId="194413FC">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1.通过统计、对比找出成本费用与分析基数节超的主要因素；</w:t>
      </w:r>
    </w:p>
    <w:p w14:paraId="63BF768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2.既要分析工艺调整、产量、采购价格等对生产经营的影响；又要总结成本管控过程中好的做法，分析取得的成效与不足。</w:t>
      </w:r>
    </w:p>
    <w:p w14:paraId="4332D39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分析材料要简洁明了，数据详实，包括但不限于成本管理采取的主要措施，取得一定成效的经验做法、存在的问题及原因分析、下一步改进措施。对于分析材料质量不高，语言繁琐又无实质内容的扣减部门负责人绩效工资200元/次。</w:t>
      </w:r>
    </w:p>
    <w:p w14:paraId="0FEB0FD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六</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资料报送。相关资料由各牵头单位和管理单位负责在月底</w:t>
      </w:r>
      <w:r>
        <w:rPr>
          <w:rFonts w:hint="eastAsia" w:ascii="仿宋_GB2312" w:hAnsi="宋体" w:eastAsia="仿宋_GB2312" w:cs="宋体"/>
          <w:b w:val="0"/>
          <w:bCs w:val="0"/>
          <w:color w:val="000000"/>
          <w:sz w:val="32"/>
          <w:szCs w:val="32"/>
          <w:lang w:val="en-US" w:eastAsia="zh-CN"/>
        </w:rPr>
        <w:t>最后一天</w:t>
      </w:r>
      <w:r>
        <w:rPr>
          <w:rFonts w:hint="eastAsia" w:ascii="仿宋_GB2312" w:hAnsi="宋体" w:eastAsia="仿宋_GB2312" w:cs="宋体"/>
          <w:b w:val="0"/>
          <w:bCs w:val="0"/>
          <w:color w:val="000000"/>
          <w:sz w:val="32"/>
          <w:szCs w:val="32"/>
        </w:rPr>
        <w:t>报送经管物资部（或会议安排的时间），推迟一天扣减50元。（具体见附表）并纳入月度考评。</w:t>
      </w:r>
    </w:p>
    <w:p w14:paraId="47CB3406">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 第二十</w:t>
      </w:r>
      <w:r>
        <w:rPr>
          <w:rFonts w:hint="eastAsia" w:ascii="仿宋_GB2312" w:hAnsi="宋体" w:eastAsia="仿宋_GB2312" w:cs="宋体"/>
          <w:b w:val="0"/>
          <w:bCs w:val="0"/>
          <w:color w:val="000000"/>
          <w:sz w:val="32"/>
          <w:szCs w:val="32"/>
          <w:lang w:val="en-US" w:eastAsia="zh-CN"/>
        </w:rPr>
        <w:t>七</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其他制度考核，具体以公司其他相关文件制度执行。</w:t>
      </w:r>
    </w:p>
    <w:p w14:paraId="59979542">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 xml:space="preserve"> 第二十</w:t>
      </w:r>
      <w:r>
        <w:rPr>
          <w:rFonts w:hint="eastAsia" w:ascii="仿宋_GB2312" w:hAnsi="宋体" w:eastAsia="仿宋_GB2312" w:cs="宋体"/>
          <w:b w:val="0"/>
          <w:bCs w:val="0"/>
          <w:color w:val="000000"/>
          <w:sz w:val="32"/>
          <w:szCs w:val="32"/>
          <w:lang w:val="en-US" w:eastAsia="zh-CN"/>
        </w:rPr>
        <w:t>八</w:t>
      </w:r>
      <w:r>
        <w:rPr>
          <w:rFonts w:hint="eastAsia" w:ascii="仿宋_GB2312" w:hAnsi="宋体" w:eastAsia="仿宋_GB2312" w:cs="宋体"/>
          <w:b w:val="0"/>
          <w:bCs w:val="0"/>
          <w:color w:val="000000"/>
          <w:sz w:val="32"/>
          <w:szCs w:val="32"/>
        </w:rPr>
        <w:t>条</w:t>
      </w:r>
      <w:r>
        <w:rPr>
          <w:rFonts w:hint="eastAsia" w:ascii="仿宋_GB2312" w:hAnsi="宋体" w:eastAsia="仿宋_GB2312" w:cs="宋体"/>
          <w:b w:val="0"/>
          <w:bCs w:val="0"/>
          <w:color w:val="000000"/>
          <w:sz w:val="32"/>
          <w:szCs w:val="32"/>
          <w:lang w:val="en-US" w:eastAsia="zh-CN"/>
        </w:rPr>
        <w:t xml:space="preserve"> </w:t>
      </w:r>
      <w:r>
        <w:rPr>
          <w:rFonts w:hint="eastAsia" w:ascii="仿宋_GB2312" w:hAnsi="宋体" w:eastAsia="仿宋_GB2312" w:cs="宋体"/>
          <w:b w:val="0"/>
          <w:bCs w:val="0"/>
          <w:color w:val="000000"/>
          <w:sz w:val="32"/>
          <w:szCs w:val="32"/>
        </w:rPr>
        <w:t>考核兑现方式</w:t>
      </w:r>
    </w:p>
    <w:p w14:paraId="2745DEF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经营成本考核年度设立绩效奖励基金1</w:t>
      </w:r>
      <w:r>
        <w:rPr>
          <w:rFonts w:hint="eastAsia" w:ascii="仿宋_GB2312" w:hAnsi="宋体" w:eastAsia="仿宋_GB2312" w:cs="宋体"/>
          <w:b w:val="0"/>
          <w:bCs w:val="0"/>
          <w:color w:val="000000"/>
          <w:sz w:val="32"/>
          <w:szCs w:val="32"/>
          <w:lang w:val="en-US" w:eastAsia="zh-CN"/>
        </w:rPr>
        <w:t>3</w:t>
      </w:r>
      <w:r>
        <w:rPr>
          <w:rFonts w:hint="eastAsia" w:ascii="仿宋_GB2312" w:hAnsi="宋体" w:eastAsia="仿宋_GB2312" w:cs="宋体"/>
          <w:b w:val="0"/>
          <w:bCs w:val="0"/>
          <w:color w:val="000000"/>
          <w:sz w:val="32"/>
          <w:szCs w:val="32"/>
        </w:rPr>
        <w:t>0万元（含自营工程</w:t>
      </w:r>
      <w:r>
        <w:rPr>
          <w:rFonts w:hint="eastAsia" w:ascii="仿宋_GB2312" w:hAnsi="宋体" w:eastAsia="仿宋_GB2312" w:cs="宋体"/>
          <w:b w:val="0"/>
          <w:bCs w:val="0"/>
          <w:color w:val="000000"/>
          <w:sz w:val="32"/>
          <w:szCs w:val="32"/>
          <w:lang w:val="en-US" w:eastAsia="zh-CN"/>
        </w:rPr>
        <w:t>3</w:t>
      </w:r>
      <w:r>
        <w:rPr>
          <w:rFonts w:hint="eastAsia" w:ascii="仿宋_GB2312" w:hAnsi="宋体" w:eastAsia="仿宋_GB2312" w:cs="宋体"/>
          <w:b w:val="0"/>
          <w:bCs w:val="0"/>
          <w:color w:val="000000"/>
          <w:sz w:val="32"/>
          <w:szCs w:val="32"/>
        </w:rPr>
        <w:t>0万元），月度考核、月度兑现；资料报送单位要在月底</w:t>
      </w:r>
      <w:r>
        <w:rPr>
          <w:rFonts w:hint="eastAsia" w:ascii="仿宋_GB2312" w:hAnsi="宋体" w:eastAsia="仿宋_GB2312" w:cs="宋体"/>
          <w:b w:val="0"/>
          <w:bCs w:val="0"/>
          <w:color w:val="000000"/>
          <w:sz w:val="32"/>
          <w:szCs w:val="32"/>
          <w:lang w:val="en-US" w:eastAsia="zh-CN"/>
        </w:rPr>
        <w:t>最后一天</w:t>
      </w:r>
      <w:r>
        <w:rPr>
          <w:rFonts w:hint="eastAsia" w:ascii="仿宋_GB2312" w:hAnsi="宋体" w:eastAsia="仿宋_GB2312" w:cs="宋体"/>
          <w:b w:val="0"/>
          <w:bCs w:val="0"/>
          <w:color w:val="000000"/>
          <w:sz w:val="32"/>
          <w:szCs w:val="32"/>
        </w:rPr>
        <w:t>将考核基础资料报送经管物资部考核办，考核办每月10日前将汇总考核资料报送考核领导小组。</w:t>
      </w:r>
    </w:p>
    <w:p w14:paraId="3E87895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第二十</w:t>
      </w:r>
      <w:r>
        <w:rPr>
          <w:rFonts w:hint="eastAsia" w:ascii="仿宋_GB2312" w:hAnsi="宋体" w:eastAsia="仿宋_GB2312" w:cs="宋体"/>
          <w:b w:val="0"/>
          <w:bCs w:val="0"/>
          <w:color w:val="000000"/>
          <w:sz w:val="32"/>
          <w:szCs w:val="32"/>
          <w:lang w:val="en-US" w:eastAsia="zh-CN"/>
        </w:rPr>
        <w:t>九</w:t>
      </w:r>
      <w:r>
        <w:rPr>
          <w:rFonts w:hint="eastAsia" w:ascii="仿宋_GB2312" w:hAnsi="宋体" w:eastAsia="仿宋_GB2312" w:cs="宋体"/>
          <w:b w:val="0"/>
          <w:bCs w:val="0"/>
          <w:color w:val="000000"/>
          <w:sz w:val="32"/>
          <w:szCs w:val="32"/>
        </w:rPr>
        <w:t>条 考核计划指标的确定</w:t>
      </w:r>
    </w:p>
    <w:p w14:paraId="70AC9FC0">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指标考核以公司下达年度分解任务计划指标及可控成本计划指标</w:t>
      </w:r>
      <w:r>
        <w:rPr>
          <w:rFonts w:hint="eastAsia" w:ascii="仿宋_GB2312" w:hAnsi="宋体" w:eastAsia="仿宋_GB2312" w:cs="宋体"/>
          <w:b w:val="0"/>
          <w:bCs w:val="0"/>
          <w:color w:val="000000"/>
          <w:sz w:val="32"/>
          <w:szCs w:val="32"/>
          <w:lang w:eastAsia="zh-CN"/>
        </w:rPr>
        <w:t>，</w:t>
      </w:r>
      <w:r>
        <w:rPr>
          <w:rFonts w:hint="eastAsia" w:ascii="仿宋_GB2312" w:hAnsi="宋体" w:eastAsia="仿宋_GB2312" w:cs="宋体"/>
          <w:b w:val="0"/>
          <w:bCs w:val="0"/>
          <w:color w:val="000000"/>
          <w:sz w:val="32"/>
          <w:szCs w:val="32"/>
        </w:rPr>
        <w:t>由各指标单位在年度计划总额内自主申报分月控制计划，按当期实际发生数和当期控制计划进行对比考核。如因特殊情况确需调整以后各期控制计划，应在每月25日前将调整计划报送公司经管物资部考核办，不报送或逾期报送调整计划的，则按原分月计划考核。</w:t>
      </w:r>
    </w:p>
    <w:p w14:paraId="29797E1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w:t>
      </w:r>
      <w:r>
        <w:rPr>
          <w:rFonts w:hint="eastAsia" w:ascii="仿宋_GB2312" w:hAnsi="宋体" w:eastAsia="仿宋_GB2312" w:cs="宋体"/>
          <w:b w:val="0"/>
          <w:bCs w:val="0"/>
          <w:color w:val="000000"/>
          <w:sz w:val="32"/>
          <w:szCs w:val="32"/>
          <w:lang w:val="en-US" w:eastAsia="zh-CN"/>
        </w:rPr>
        <w:t>三</w:t>
      </w:r>
      <w:r>
        <w:rPr>
          <w:rFonts w:hint="eastAsia" w:ascii="仿宋_GB2312" w:hAnsi="宋体" w:eastAsia="仿宋_GB2312" w:cs="宋体"/>
          <w:b w:val="0"/>
          <w:bCs w:val="0"/>
          <w:color w:val="000000"/>
          <w:sz w:val="32"/>
          <w:szCs w:val="32"/>
        </w:rPr>
        <w:t>十条 考核调整因素的确认</w:t>
      </w:r>
    </w:p>
    <w:p w14:paraId="34E6FD37">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1.经集团公司确认的计划外增支因素在考核时可以直接剔除，如工程性材料、政策性费用等。</w:t>
      </w:r>
    </w:p>
    <w:p w14:paraId="1C8CFE0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2.如确因宏观经济形势、客观因素发生显著变化，对考核产生重大影响时，被考核单位可以书面提出考核时需要剔除的因素，书面报告要阐明</w:t>
      </w:r>
      <w:r>
        <w:rPr>
          <w:rFonts w:hint="eastAsia" w:ascii="仿宋_GB2312" w:hAnsi="宋体" w:eastAsia="仿宋_GB2312" w:cs="宋体"/>
          <w:b w:val="0"/>
          <w:bCs w:val="0"/>
          <w:color w:val="000000"/>
          <w:sz w:val="32"/>
          <w:szCs w:val="32"/>
          <w:lang w:eastAsia="zh-CN"/>
        </w:rPr>
        <w:t>需要</w:t>
      </w:r>
      <w:r>
        <w:rPr>
          <w:rFonts w:hint="eastAsia" w:ascii="仿宋_GB2312" w:hAnsi="宋体" w:eastAsia="仿宋_GB2312" w:cs="宋体"/>
          <w:b w:val="0"/>
          <w:bCs w:val="0"/>
          <w:color w:val="000000"/>
          <w:sz w:val="32"/>
          <w:szCs w:val="32"/>
        </w:rPr>
        <w:t>调整因素的具体情况、理由以及对考核影响的程度。报经公司主要领导批示后，可以作为计划外增支因素予以调整经济指标。</w:t>
      </w:r>
    </w:p>
    <w:p w14:paraId="67FAEEB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被考核单位认为需在考核中予以剔除的因素，应在该因素将要发生时向公司申报，原则上不允许出现事后报告，更不允许跨月申报调整报告。对于公司紧急做出的决定或事关安全生产的特殊情况，由该单位在事实发生后3日内向公司申报；迟报、漏报的，不予承认，后果自负。</w:t>
      </w:r>
    </w:p>
    <w:p w14:paraId="20A5EDCE">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w:t>
      </w:r>
      <w:r>
        <w:rPr>
          <w:rFonts w:hint="eastAsia" w:ascii="仿宋_GB2312" w:hAnsi="宋体" w:eastAsia="仿宋_GB2312" w:cs="宋体"/>
          <w:b w:val="0"/>
          <w:bCs w:val="0"/>
          <w:color w:val="000000"/>
          <w:sz w:val="32"/>
          <w:szCs w:val="32"/>
          <w:lang w:val="en-US" w:eastAsia="zh-CN"/>
        </w:rPr>
        <w:t>三十一</w:t>
      </w:r>
      <w:r>
        <w:rPr>
          <w:rFonts w:hint="eastAsia" w:ascii="仿宋_GB2312" w:hAnsi="宋体" w:eastAsia="仿宋_GB2312" w:cs="宋体"/>
          <w:b w:val="0"/>
          <w:bCs w:val="0"/>
          <w:color w:val="000000"/>
          <w:sz w:val="32"/>
          <w:szCs w:val="32"/>
        </w:rPr>
        <w:t>条 考核结果的执行</w:t>
      </w:r>
    </w:p>
    <w:p w14:paraId="18A0B83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公司月度考核结果由经营分析会提出初审意见，报公司领导签认后，由经营物资部考核办送交人力资源部。</w:t>
      </w:r>
    </w:p>
    <w:p w14:paraId="68C7577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第</w:t>
      </w:r>
      <w:r>
        <w:rPr>
          <w:rFonts w:hint="eastAsia" w:ascii="仿宋_GB2312" w:hAnsi="宋体" w:eastAsia="仿宋_GB2312" w:cs="宋体"/>
          <w:b w:val="0"/>
          <w:bCs w:val="0"/>
          <w:color w:val="000000"/>
          <w:sz w:val="32"/>
          <w:szCs w:val="32"/>
          <w:lang w:val="en-US" w:eastAsia="zh-CN"/>
        </w:rPr>
        <w:t>三</w:t>
      </w:r>
      <w:r>
        <w:rPr>
          <w:rFonts w:hint="eastAsia" w:ascii="仿宋_GB2312" w:hAnsi="宋体" w:eastAsia="仿宋_GB2312" w:cs="宋体"/>
          <w:b w:val="0"/>
          <w:bCs w:val="0"/>
          <w:color w:val="000000"/>
          <w:sz w:val="32"/>
          <w:szCs w:val="32"/>
        </w:rPr>
        <w:t>十</w:t>
      </w:r>
      <w:r>
        <w:rPr>
          <w:rFonts w:hint="eastAsia" w:ascii="仿宋_GB2312" w:hAnsi="宋体" w:eastAsia="仿宋_GB2312" w:cs="宋体"/>
          <w:b w:val="0"/>
          <w:bCs w:val="0"/>
          <w:color w:val="000000"/>
          <w:sz w:val="32"/>
          <w:szCs w:val="32"/>
          <w:lang w:val="en-US" w:eastAsia="zh-CN"/>
        </w:rPr>
        <w:t>二</w:t>
      </w:r>
      <w:r>
        <w:rPr>
          <w:rFonts w:hint="eastAsia" w:ascii="仿宋_GB2312" w:hAnsi="宋体" w:eastAsia="仿宋_GB2312" w:cs="宋体"/>
          <w:b w:val="0"/>
          <w:bCs w:val="0"/>
          <w:color w:val="000000"/>
          <w:sz w:val="32"/>
          <w:szCs w:val="32"/>
        </w:rPr>
        <w:t>条 其他要求</w:t>
      </w:r>
    </w:p>
    <w:p w14:paraId="427443E1">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被考核单位月末及时与相关部门</w:t>
      </w:r>
      <w:r>
        <w:rPr>
          <w:rFonts w:hint="eastAsia" w:ascii="仿宋_GB2312" w:hAnsi="宋体" w:eastAsia="仿宋_GB2312" w:cs="宋体"/>
          <w:b w:val="0"/>
          <w:bCs w:val="0"/>
          <w:color w:val="000000"/>
          <w:sz w:val="32"/>
          <w:szCs w:val="32"/>
          <w:lang w:eastAsia="zh-CN"/>
        </w:rPr>
        <w:t>对账</w:t>
      </w:r>
      <w:r>
        <w:rPr>
          <w:rFonts w:hint="eastAsia" w:ascii="仿宋_GB2312" w:hAnsi="宋体" w:eastAsia="仿宋_GB2312" w:cs="宋体"/>
          <w:b w:val="0"/>
          <w:bCs w:val="0"/>
          <w:color w:val="000000"/>
          <w:sz w:val="32"/>
          <w:szCs w:val="32"/>
        </w:rPr>
        <w:t>，查找指标实际完成情况与控制计划的差异，系统分析差异形成的原因，并提出有针对性的整改措施，于次月2日前报指标对口考核部门，指标对口考核部门要加强整改措施落实情况的监督检查、过程控制。</w:t>
      </w:r>
    </w:p>
    <w:p w14:paraId="735FAEEA">
      <w:pPr>
        <w:keepNext w:val="0"/>
        <w:keepLines w:val="0"/>
        <w:pageBreakBefore w:val="0"/>
        <w:wordWrap/>
        <w:overflowPunct/>
        <w:topLinePunct w:val="0"/>
        <w:bidi w:val="0"/>
        <w:spacing w:line="520" w:lineRule="exact"/>
        <w:rPr>
          <w:rFonts w:hint="eastAsia" w:ascii="仿宋_GB2312" w:hAnsi="宋体" w:eastAsia="仿宋_GB2312" w:cs="宋体"/>
          <w:b w:val="0"/>
          <w:bCs w:val="0"/>
          <w:color w:val="000000"/>
          <w:sz w:val="32"/>
          <w:szCs w:val="32"/>
        </w:rPr>
      </w:pPr>
    </w:p>
    <w:p w14:paraId="015CF70B">
      <w:pPr>
        <w:keepNext w:val="0"/>
        <w:keepLines w:val="0"/>
        <w:pageBreakBefore w:val="0"/>
        <w:wordWrap/>
        <w:overflowPunct/>
        <w:topLinePunct w:val="0"/>
        <w:bidi w:val="0"/>
        <w:spacing w:line="520" w:lineRule="exact"/>
        <w:jc w:val="center"/>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第四章</w:t>
      </w:r>
      <w:r>
        <w:rPr>
          <w:rFonts w:hint="eastAsia" w:ascii="黑体" w:hAnsi="黑体" w:eastAsia="黑体" w:cs="黑体"/>
          <w:b w:val="0"/>
          <w:bCs w:val="0"/>
          <w:color w:val="000000"/>
          <w:sz w:val="32"/>
          <w:szCs w:val="32"/>
          <w:lang w:val="en-US" w:eastAsia="zh-CN"/>
        </w:rPr>
        <w:t xml:space="preserve"> </w:t>
      </w:r>
      <w:r>
        <w:rPr>
          <w:rFonts w:hint="eastAsia" w:ascii="黑体" w:hAnsi="黑体" w:eastAsia="黑体" w:cs="黑体"/>
          <w:b w:val="0"/>
          <w:bCs w:val="0"/>
          <w:color w:val="000000"/>
          <w:sz w:val="32"/>
          <w:szCs w:val="32"/>
        </w:rPr>
        <w:t>附则</w:t>
      </w:r>
    </w:p>
    <w:p w14:paraId="667E0E7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本办法自印发之日起施行，原西北能化经营〔2025〕2号西北能化公司2025年经营管理与监督考核实施意见中附件1《降本创效实施方案》、附件2《经营绩效考核管理办法》同时废止。</w:t>
      </w:r>
    </w:p>
    <w:p w14:paraId="0CFE41FB">
      <w:pPr>
        <w:keepNext w:val="0"/>
        <w:keepLines w:val="0"/>
        <w:pageBreakBefore w:val="0"/>
        <w:wordWrap/>
        <w:overflowPunct/>
        <w:topLinePunct w:val="0"/>
        <w:bidi w:val="0"/>
        <w:spacing w:line="520" w:lineRule="exact"/>
        <w:rPr>
          <w:rFonts w:hint="eastAsia" w:ascii="仿宋_GB2312" w:hAnsi="宋体" w:eastAsia="仿宋_GB2312" w:cs="宋体"/>
          <w:b w:val="0"/>
          <w:bCs w:val="0"/>
          <w:color w:val="000000"/>
          <w:sz w:val="32"/>
          <w:szCs w:val="32"/>
        </w:rPr>
      </w:pPr>
    </w:p>
    <w:p w14:paraId="1135E91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lang w:val="en-US" w:eastAsia="zh-CN"/>
        </w:rPr>
        <w:t>附表</w:t>
      </w:r>
      <w:r>
        <w:rPr>
          <w:rFonts w:hint="eastAsia" w:ascii="仿宋_GB2312" w:hAnsi="宋体" w:eastAsia="仿宋_GB2312" w:cs="宋体"/>
          <w:b w:val="0"/>
          <w:bCs w:val="0"/>
          <w:color w:val="000000"/>
          <w:sz w:val="32"/>
          <w:szCs w:val="32"/>
        </w:rPr>
        <w:t>：1.2026年经营指标分解表</w:t>
      </w:r>
    </w:p>
    <w:p w14:paraId="5C3BE5F4">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2.2026年月度经营资料报送时间范畴</w:t>
      </w:r>
    </w:p>
    <w:p w14:paraId="00F1B03D">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3.2026年部门（车间）季度管理考评评分细则</w:t>
      </w:r>
    </w:p>
    <w:p w14:paraId="5302CB88">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4.2026年管理人员负单考核内容及评分标准表</w:t>
      </w:r>
    </w:p>
    <w:p w14:paraId="2D47032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r>
        <w:rPr>
          <w:rFonts w:hint="eastAsia" w:ascii="仿宋_GB2312" w:hAnsi="宋体" w:eastAsia="仿宋_GB2312" w:cs="宋体"/>
          <w:b w:val="0"/>
          <w:bCs w:val="0"/>
          <w:color w:val="000000"/>
          <w:sz w:val="32"/>
          <w:szCs w:val="32"/>
        </w:rPr>
        <w:t>5.2026年</w:t>
      </w:r>
      <w:r>
        <w:rPr>
          <w:rFonts w:hint="eastAsia" w:ascii="仿宋_GB2312" w:hAnsi="宋体" w:eastAsia="仿宋_GB2312" w:cs="宋体"/>
          <w:b w:val="0"/>
          <w:bCs w:val="0"/>
          <w:color w:val="000000"/>
          <w:sz w:val="32"/>
          <w:szCs w:val="32"/>
          <w:lang w:val="en-US" w:eastAsia="zh-CN"/>
        </w:rPr>
        <w:t>降本</w:t>
      </w:r>
      <w:r>
        <w:rPr>
          <w:rFonts w:hint="eastAsia" w:ascii="仿宋_GB2312" w:hAnsi="宋体" w:eastAsia="仿宋_GB2312" w:cs="宋体"/>
          <w:b w:val="0"/>
          <w:bCs w:val="0"/>
          <w:color w:val="000000"/>
          <w:sz w:val="32"/>
          <w:szCs w:val="32"/>
        </w:rPr>
        <w:t>创效责任清单</w:t>
      </w:r>
    </w:p>
    <w:p w14:paraId="185130A3">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p>
    <w:p w14:paraId="7DC3908A">
      <w:pPr>
        <w:keepNext w:val="0"/>
        <w:keepLines w:val="0"/>
        <w:pageBreakBefore w:val="0"/>
        <w:wordWrap/>
        <w:overflowPunct/>
        <w:topLinePunct w:val="0"/>
        <w:bidi w:val="0"/>
        <w:spacing w:line="520" w:lineRule="exact"/>
        <w:ind w:firstLine="640" w:firstLineChars="200"/>
        <w:rPr>
          <w:rFonts w:hint="eastAsia" w:ascii="仿宋_GB2312" w:hAnsi="宋体" w:eastAsia="仿宋_GB2312" w:cs="宋体"/>
          <w:b w:val="0"/>
          <w:bCs w:val="0"/>
          <w:color w:val="000000"/>
          <w:sz w:val="32"/>
          <w:szCs w:val="32"/>
        </w:rPr>
      </w:pPr>
    </w:p>
    <w:p w14:paraId="528CE83B">
      <w:pPr>
        <w:keepNext w:val="0"/>
        <w:keepLines w:val="0"/>
        <w:pageBreakBefore w:val="0"/>
        <w:wordWrap/>
        <w:overflowPunct/>
        <w:topLinePunct w:val="0"/>
        <w:bidi w:val="0"/>
        <w:spacing w:line="520" w:lineRule="exact"/>
        <w:ind w:right="-197" w:rightChars="-94"/>
        <w:rPr>
          <w:rFonts w:ascii="仿宋_GB2312" w:eastAsia="仿宋_GB2312"/>
          <w:sz w:val="32"/>
          <w:szCs w:val="32"/>
        </w:rPr>
      </w:pPr>
    </w:p>
    <w:p w14:paraId="02B60112">
      <w:pPr>
        <w:keepNext w:val="0"/>
        <w:keepLines w:val="0"/>
        <w:pageBreakBefore w:val="0"/>
        <w:wordWrap/>
        <w:overflowPunct/>
        <w:topLinePunct w:val="0"/>
        <w:bidi w:val="0"/>
        <w:spacing w:line="520" w:lineRule="exact"/>
        <w:ind w:right="-197" w:rightChars="-94"/>
        <w:rPr>
          <w:rFonts w:ascii="仿宋_GB2312" w:eastAsia="仿宋_GB2312"/>
          <w:sz w:val="32"/>
          <w:szCs w:val="32"/>
        </w:rPr>
      </w:pPr>
    </w:p>
    <w:p w14:paraId="1B53B6A7">
      <w:pPr>
        <w:keepNext w:val="0"/>
        <w:keepLines w:val="0"/>
        <w:pageBreakBefore w:val="0"/>
        <w:wordWrap/>
        <w:overflowPunct/>
        <w:topLinePunct w:val="0"/>
        <w:bidi w:val="0"/>
        <w:spacing w:line="520" w:lineRule="exact"/>
        <w:ind w:right="-197" w:rightChars="-94"/>
        <w:rPr>
          <w:rFonts w:ascii="仿宋_GB2312" w:eastAsia="仿宋_GB2312"/>
          <w:sz w:val="32"/>
          <w:szCs w:val="32"/>
        </w:rPr>
      </w:pPr>
    </w:p>
    <w:p w14:paraId="0B79DF0C">
      <w:pPr>
        <w:spacing w:line="520" w:lineRule="exact"/>
        <w:ind w:right="-197" w:rightChars="-94"/>
        <w:rPr>
          <w:rFonts w:hint="eastAsia" w:ascii="仿宋_GB2312" w:eastAsia="仿宋_GB2312"/>
          <w:sz w:val="32"/>
          <w:szCs w:val="32"/>
        </w:rPr>
      </w:pPr>
    </w:p>
    <w:p w14:paraId="607F3991">
      <w:pPr>
        <w:spacing w:line="520" w:lineRule="exact"/>
        <w:ind w:right="-197" w:rightChars="-94"/>
        <w:rPr>
          <w:rFonts w:hint="eastAsia" w:ascii="仿宋_GB2312" w:eastAsia="仿宋_GB2312"/>
          <w:sz w:val="32"/>
          <w:szCs w:val="32"/>
        </w:rPr>
      </w:pPr>
    </w:p>
    <w:p w14:paraId="1B5CF6FD">
      <w:pPr>
        <w:spacing w:line="520" w:lineRule="exact"/>
        <w:ind w:right="-197" w:rightChars="-94"/>
        <w:rPr>
          <w:rFonts w:hint="eastAsia" w:ascii="仿宋_GB2312" w:eastAsia="仿宋_GB2312"/>
          <w:sz w:val="32"/>
          <w:szCs w:val="32"/>
        </w:rPr>
      </w:pPr>
    </w:p>
    <w:p w14:paraId="24CD54B2">
      <w:pPr>
        <w:spacing w:line="520" w:lineRule="exact"/>
        <w:ind w:right="-197" w:rightChars="-94"/>
        <w:rPr>
          <w:rFonts w:hint="eastAsia" w:ascii="仿宋_GB2312" w:eastAsia="仿宋_GB2312"/>
          <w:sz w:val="32"/>
          <w:szCs w:val="32"/>
        </w:rPr>
      </w:pPr>
    </w:p>
    <w:p w14:paraId="660F2653">
      <w:pPr>
        <w:spacing w:line="520" w:lineRule="exact"/>
        <w:ind w:right="-197" w:rightChars="-94"/>
        <w:rPr>
          <w:rFonts w:hint="eastAsia" w:ascii="仿宋_GB2312" w:eastAsia="仿宋_GB2312"/>
          <w:sz w:val="32"/>
          <w:szCs w:val="32"/>
        </w:rPr>
      </w:pPr>
    </w:p>
    <w:p w14:paraId="2D720933">
      <w:pPr>
        <w:spacing w:line="520" w:lineRule="exact"/>
        <w:ind w:right="-197" w:rightChars="-94"/>
        <w:rPr>
          <w:rFonts w:hint="eastAsia" w:ascii="仿宋_GB2312" w:eastAsia="仿宋_GB2312"/>
          <w:sz w:val="32"/>
          <w:szCs w:val="32"/>
        </w:rPr>
      </w:pPr>
    </w:p>
    <w:p w14:paraId="25929979">
      <w:pPr>
        <w:spacing w:line="520" w:lineRule="exact"/>
        <w:ind w:right="-197" w:rightChars="-94"/>
        <w:rPr>
          <w:rFonts w:hint="eastAsia" w:ascii="仿宋_GB2312" w:eastAsia="仿宋_GB2312"/>
          <w:sz w:val="32"/>
          <w:szCs w:val="32"/>
        </w:rPr>
      </w:pPr>
    </w:p>
    <w:p w14:paraId="2CB52890">
      <w:pPr>
        <w:spacing w:line="520" w:lineRule="exact"/>
        <w:ind w:right="-197" w:rightChars="-94"/>
        <w:rPr>
          <w:rFonts w:hint="eastAsia" w:ascii="仿宋_GB2312" w:eastAsia="仿宋_GB2312"/>
          <w:sz w:val="32"/>
          <w:szCs w:val="32"/>
        </w:rPr>
      </w:pPr>
    </w:p>
    <w:p w14:paraId="40270032">
      <w:pPr>
        <w:spacing w:line="520" w:lineRule="exact"/>
        <w:ind w:right="-197" w:rightChars="-94"/>
        <w:rPr>
          <w:rFonts w:hint="eastAsia" w:ascii="仿宋_GB2312" w:eastAsia="仿宋_GB2312"/>
          <w:sz w:val="32"/>
          <w:szCs w:val="32"/>
        </w:rPr>
      </w:pPr>
    </w:p>
    <w:p w14:paraId="6141BA13">
      <w:pPr>
        <w:spacing w:line="520" w:lineRule="exact"/>
        <w:ind w:right="-197" w:rightChars="-94"/>
        <w:rPr>
          <w:rFonts w:hint="eastAsia" w:ascii="仿宋_GB2312" w:eastAsia="仿宋_GB2312"/>
          <w:sz w:val="32"/>
          <w:szCs w:val="32"/>
        </w:rPr>
      </w:pPr>
    </w:p>
    <w:p w14:paraId="4909DCDE">
      <w:pPr>
        <w:spacing w:line="520" w:lineRule="exact"/>
        <w:ind w:right="-197" w:rightChars="-94"/>
        <w:rPr>
          <w:rFonts w:hint="eastAsia" w:ascii="黑体" w:hAnsi="黑体" w:eastAsia="黑体" w:cs="黑体"/>
          <w:sz w:val="32"/>
          <w:szCs w:val="32"/>
        </w:rPr>
      </w:pPr>
      <w:r>
        <w:rPr>
          <w:rFonts w:hint="eastAsia" w:ascii="黑体" w:hAnsi="黑体" w:eastAsia="黑体" w:cs="黑体"/>
          <w:sz w:val="32"/>
          <w:szCs w:val="32"/>
          <w:lang w:val="en-US" w:eastAsia="zh-CN"/>
        </w:rPr>
        <w:t>附件2</w:t>
      </w:r>
    </w:p>
    <w:p w14:paraId="1A6AFECD">
      <w:pPr>
        <w:widowControl/>
        <w:spacing w:line="52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kern w:val="0"/>
          <w:sz w:val="44"/>
          <w:szCs w:val="44"/>
          <w:lang w:bidi="ar"/>
        </w:rPr>
        <w:t>2026年修旧利废管理办法</w:t>
      </w:r>
    </w:p>
    <w:p w14:paraId="15BDC342">
      <w:pPr>
        <w:spacing w:line="520" w:lineRule="exact"/>
        <w:ind w:firstLine="640"/>
        <w:jc w:val="center"/>
        <w:rPr>
          <w:rFonts w:hint="eastAsia" w:ascii="黑体" w:hAnsi="黑体" w:eastAsia="黑体" w:cs="黑体"/>
          <w:sz w:val="32"/>
          <w:szCs w:val="32"/>
        </w:rPr>
      </w:pPr>
    </w:p>
    <w:p w14:paraId="2BF88B1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第一章 总则</w:t>
      </w:r>
    </w:p>
    <w:p w14:paraId="78FC386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第一条</w:t>
      </w:r>
      <w:r>
        <w:rPr>
          <w:rFonts w:hint="eastAsia" w:ascii="仿宋_GB2312" w:hAnsi="仿宋_GB2312" w:eastAsia="仿宋_GB2312" w:cs="仿宋_GB2312"/>
          <w:sz w:val="32"/>
          <w:szCs w:val="40"/>
        </w:rPr>
        <w:t xml:space="preserve"> 为进一步规范废旧物资的回收、修复、再利用的管理，充分利用废旧物资剩余价值，变废为宝，提高回收物资的复用率，节约材料投入、降低成本，结合公司实际情况特制定本办法。 </w:t>
      </w:r>
    </w:p>
    <w:p w14:paraId="63E1666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p>
    <w:p w14:paraId="7F0CEC2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第二章 组织机构</w:t>
      </w:r>
    </w:p>
    <w:p w14:paraId="2DCDB166">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 第二条 成立修旧利废小组，以总经理为组长，副总经理和总工程师为副</w:t>
      </w:r>
      <w:r>
        <w:rPr>
          <w:rFonts w:hint="eastAsia" w:ascii="仿宋_GB2312" w:hAnsi="仿宋_GB2312" w:eastAsia="仿宋_GB2312" w:cs="仿宋_GB2312"/>
          <w:sz w:val="32"/>
          <w:szCs w:val="40"/>
        </w:rPr>
        <w:t xml:space="preserve">组长，副总师、各部门部长及车间主任为成员的领导小组。 </w:t>
      </w:r>
    </w:p>
    <w:p w14:paraId="471B664E">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第三条 职责 </w:t>
      </w:r>
    </w:p>
    <w:p w14:paraId="0130866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（一）修旧利废小组负责鉴定、批准、验收、确定使用意见等职责。</w:t>
      </w:r>
    </w:p>
    <w:p w14:paraId="3DA186A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（二）各部门负责可复用物资的送交及自修工作。</w:t>
      </w:r>
    </w:p>
    <w:p w14:paraId="78B8391E">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（三）设备部检修队，负责接收各部门送交可复用的物资，对回收的可复用物资进行分拣、再加工、码放、转运、存放等工作；按照回收材料类别分区域码放。</w:t>
      </w:r>
    </w:p>
    <w:p w14:paraId="4E7427E3">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（四）经管物资部，负责本规定的监督、检查、过程管控、结算、考核以及废旧物资处置等工作。</w:t>
      </w:r>
    </w:p>
    <w:p w14:paraId="0058BF1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p>
    <w:p w14:paraId="592B103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第三章 修旧利废定义</w:t>
      </w:r>
    </w:p>
    <w:p w14:paraId="64193B1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第四条 旧设备 </w:t>
      </w:r>
    </w:p>
    <w:p w14:paraId="36FD7F0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（一）因技术改</w:t>
      </w:r>
      <w:r>
        <w:rPr>
          <w:rFonts w:hint="eastAsia" w:ascii="仿宋_GB2312" w:hAnsi="仿宋_GB2312" w:eastAsia="仿宋_GB2312" w:cs="仿宋_GB2312"/>
          <w:sz w:val="32"/>
          <w:szCs w:val="40"/>
        </w:rPr>
        <w:t xml:space="preserve">造更换下来的设备，在原设计使用点已不再使用的。 </w:t>
      </w:r>
    </w:p>
    <w:p w14:paraId="36002CC7">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（二）库存时间较长，原有用途已变更，不再使用的。 </w:t>
      </w:r>
    </w:p>
    <w:p w14:paraId="3FC2AF53">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第五条</w:t>
      </w:r>
      <w:r>
        <w:rPr>
          <w:rFonts w:hint="eastAsia" w:ascii="仿宋_GB2312" w:hAnsi="仿宋_GB2312" w:eastAsia="仿宋_GB2312" w:cs="仿宋_GB2312"/>
          <w:sz w:val="32"/>
          <w:szCs w:val="40"/>
          <w:lang w:val="en-US" w:eastAsia="zh-CN"/>
        </w:rPr>
        <w:t xml:space="preserve"> </w:t>
      </w:r>
      <w:r>
        <w:rPr>
          <w:rFonts w:hint="eastAsia" w:ascii="仿宋_GB2312" w:hAnsi="仿宋_GB2312" w:eastAsia="仿宋_GB2312" w:cs="仿宋_GB2312"/>
          <w:sz w:val="32"/>
          <w:szCs w:val="40"/>
        </w:rPr>
        <w:t>废设备</w:t>
      </w:r>
      <w:r>
        <w:rPr>
          <w:rFonts w:hint="eastAsia" w:ascii="仿宋_GB2312" w:hAnsi="仿宋_GB2312" w:eastAsia="仿宋_GB2312" w:cs="仿宋_GB2312"/>
          <w:sz w:val="32"/>
          <w:szCs w:val="40"/>
        </w:rPr>
        <w:t xml:space="preserve"> </w:t>
      </w:r>
    </w:p>
    <w:p w14:paraId="2ACCE59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（一）经长期使用或发生重大、特大事故，基础件已严重损坏，修理后其技术性能也不能达到生产工艺要求的。 </w:t>
      </w:r>
    </w:p>
    <w:p w14:paraId="11915F13">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（二）设备老化，</w:t>
      </w:r>
      <w:r>
        <w:rPr>
          <w:rFonts w:hint="eastAsia" w:ascii="仿宋_GB2312" w:hAnsi="仿宋_GB2312" w:eastAsia="仿宋_GB2312" w:cs="仿宋_GB2312"/>
          <w:sz w:val="32"/>
          <w:szCs w:val="40"/>
          <w:lang w:eastAsia="zh-CN"/>
        </w:rPr>
        <w:t>技术</w:t>
      </w:r>
      <w:r>
        <w:rPr>
          <w:rFonts w:hint="eastAsia" w:ascii="仿宋_GB2312" w:hAnsi="仿宋_GB2312" w:eastAsia="仿宋_GB2312" w:cs="仿宋_GB2312"/>
          <w:sz w:val="32"/>
          <w:szCs w:val="40"/>
        </w:rPr>
        <w:t>落后，耗能高，效率低，经济效益</w:t>
      </w:r>
      <w:r>
        <w:rPr>
          <w:rFonts w:hint="eastAsia" w:ascii="仿宋_GB2312" w:hAnsi="仿宋_GB2312" w:eastAsia="仿宋_GB2312" w:cs="仿宋_GB2312"/>
          <w:sz w:val="32"/>
          <w:szCs w:val="40"/>
          <w:lang w:eastAsia="zh-CN"/>
        </w:rPr>
        <w:t>差</w:t>
      </w:r>
      <w:r>
        <w:rPr>
          <w:rFonts w:hint="eastAsia" w:ascii="仿宋_GB2312" w:hAnsi="仿宋_GB2312" w:eastAsia="仿宋_GB2312" w:cs="仿宋_GB2312"/>
          <w:sz w:val="32"/>
          <w:szCs w:val="40"/>
        </w:rPr>
        <w:t xml:space="preserve">。 </w:t>
      </w:r>
    </w:p>
    <w:p w14:paraId="10F927B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（三）维修费用过高（一次大修超过原值 50%以上），继续使用经济上不合算的。 </w:t>
      </w:r>
    </w:p>
    <w:p w14:paraId="417603E1">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（四）机型已淘汰，性能低劣，又不能降级使用的。 </w:t>
      </w:r>
    </w:p>
    <w:p w14:paraId="677FAB7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（五）主要零、部件无法补充而长期失修的。 </w:t>
      </w:r>
    </w:p>
    <w:p w14:paraId="27E32265">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（六）严重污染环境、危害人身安全与健康，进行改造经济上又不合算的。 </w:t>
      </w:r>
    </w:p>
    <w:p w14:paraId="4FAB4ED0">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第六条 废旧零部件 </w:t>
      </w:r>
    </w:p>
    <w:p w14:paraId="79FB5E65">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（一）在检修设备时更换下来的零部件或未经修理，不能继续使用的总成件。 </w:t>
      </w:r>
    </w:p>
    <w:p w14:paraId="3B614AEB">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（二）库存时间太长的零部件。 </w:t>
      </w:r>
    </w:p>
    <w:p w14:paraId="1E83E786">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第七条 外委、外购件 </w:t>
      </w:r>
    </w:p>
    <w:p w14:paraId="4555C477">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1.</w:t>
      </w:r>
      <w:r>
        <w:rPr>
          <w:rFonts w:hint="eastAsia" w:ascii="仿宋_GB2312" w:hAnsi="仿宋_GB2312" w:eastAsia="仿宋_GB2312" w:cs="仿宋_GB2312"/>
          <w:sz w:val="32"/>
          <w:szCs w:val="40"/>
        </w:rPr>
        <w:t xml:space="preserve">此前一直外委修理，现进行自修，确保质量要求并降低维修成本（费用不超过原值的 30%）的设备、配件。 </w:t>
      </w:r>
    </w:p>
    <w:p w14:paraId="065ED955">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eastAsia="zh-CN"/>
        </w:rPr>
        <w:t>2.</w:t>
      </w:r>
      <w:r>
        <w:rPr>
          <w:rFonts w:hint="eastAsia" w:ascii="仿宋_GB2312" w:hAnsi="仿宋_GB2312" w:eastAsia="仿宋_GB2312" w:cs="仿宋_GB2312"/>
          <w:sz w:val="32"/>
          <w:szCs w:val="40"/>
        </w:rPr>
        <w:t>此前一直外购新件，现进行自制加工，确保质量要求并降低采购成本的设备、配件。</w:t>
      </w:r>
    </w:p>
    <w:p w14:paraId="2874B29B">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p>
    <w:p w14:paraId="7FC44C0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第四章 修旧利废的界定</w:t>
      </w:r>
    </w:p>
    <w:p w14:paraId="28A55A39">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第八条</w:t>
      </w:r>
      <w:r>
        <w:rPr>
          <w:rFonts w:hint="eastAsia" w:ascii="仿宋_GB2312" w:hAnsi="仿宋_GB2312" w:eastAsia="仿宋_GB2312" w:cs="仿宋_GB2312"/>
          <w:sz w:val="32"/>
          <w:szCs w:val="40"/>
        </w:rPr>
        <w:t xml:space="preserve"> 针对废旧设备、零部件采用本部门自修，使其性能达到或接近相同产品的技术指标，或从废设备中拆卸有效零件用于其他场合。 </w:t>
      </w:r>
    </w:p>
    <w:p w14:paraId="6A8300AA">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楷体_GB2312" w:hAnsi="楷体_GB2312" w:eastAsia="楷体_GB2312" w:cs="楷体_GB2312"/>
          <w:sz w:val="32"/>
          <w:szCs w:val="40"/>
        </w:rPr>
      </w:pPr>
      <w:r>
        <w:rPr>
          <w:rFonts w:hint="eastAsia" w:ascii="楷体_GB2312" w:hAnsi="楷体_GB2312" w:eastAsia="楷体_GB2312" w:cs="楷体_GB2312"/>
          <w:sz w:val="32"/>
          <w:szCs w:val="40"/>
        </w:rPr>
        <w:t xml:space="preserve">（一）修旧利废的范围 </w:t>
      </w:r>
    </w:p>
    <w:p w14:paraId="3EBD704B">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1.旧设备、旧零件的恢复使用 </w:t>
      </w:r>
    </w:p>
    <w:p w14:paraId="0489D4BA">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2.报废设备中部分可用零件的拆卸再利用 </w:t>
      </w:r>
    </w:p>
    <w:p w14:paraId="36B29121">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3.各类元件的修复 </w:t>
      </w:r>
    </w:p>
    <w:p w14:paraId="7B76633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4.各种齿轮、轴的修复 </w:t>
      </w:r>
    </w:p>
    <w:p w14:paraId="07CA53F0">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5.各种托辊、滚筒的修复 </w:t>
      </w:r>
    </w:p>
    <w:p w14:paraId="7802CEF6">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6.各类变压器、变频器继电器、电机仪器仪表的修复 </w:t>
      </w:r>
    </w:p>
    <w:p w14:paraId="1ECABD16">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7.废旧电缆、电线的回收利用 </w:t>
      </w:r>
    </w:p>
    <w:p w14:paraId="62C4C96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8.废旧润滑油经过滤、澄清再生后利用</w:t>
      </w:r>
    </w:p>
    <w:p w14:paraId="32709C5D">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9.废旧管道、管件、法兰、金属型材的回收再利用</w:t>
      </w:r>
    </w:p>
    <w:p w14:paraId="252B6AFC">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10.其他有修旧利废价值的活动 </w:t>
      </w:r>
    </w:p>
    <w:p w14:paraId="0DB41F2A">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楷体_GB2312" w:hAnsi="楷体_GB2312" w:eastAsia="楷体_GB2312" w:cs="楷体_GB2312"/>
          <w:sz w:val="32"/>
          <w:szCs w:val="40"/>
        </w:rPr>
      </w:pPr>
      <w:r>
        <w:rPr>
          <w:rFonts w:hint="eastAsia" w:ascii="楷体_GB2312" w:hAnsi="楷体_GB2312" w:eastAsia="楷体_GB2312" w:cs="楷体_GB2312"/>
          <w:sz w:val="32"/>
          <w:szCs w:val="40"/>
        </w:rPr>
        <w:t>（二）不能列入修旧利废范围的物资</w:t>
      </w:r>
    </w:p>
    <w:p w14:paraId="521C4B06">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1.能够在日常检修中处理好，能够满足使用要求的。 </w:t>
      </w:r>
    </w:p>
    <w:p w14:paraId="22770AE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2.经过简单处理就能恢复设备、零部件技术性能的。 </w:t>
      </w:r>
    </w:p>
    <w:p w14:paraId="4BEB3FED">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3.国家有关部门或行业规定的淘汰的产品。 </w:t>
      </w:r>
    </w:p>
    <w:p w14:paraId="1B003D6B">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4.严重污染环境，危害人身安全与健康，进行改造，经济上又不合算的。 </w:t>
      </w:r>
    </w:p>
    <w:p w14:paraId="7340EEE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5.经检测确认不能再继续使用的特种设备、配件等。</w:t>
      </w:r>
    </w:p>
    <w:p w14:paraId="1D1B4874">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6.外委维修以及外购材料简单处理，消耗较少的产品。</w:t>
      </w:r>
    </w:p>
    <w:p w14:paraId="3AB746E8">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7.外委维修使其性能达到或接近相同产品的技术指标。 </w:t>
      </w:r>
    </w:p>
    <w:p w14:paraId="46F61E5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p>
    <w:p w14:paraId="2428180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w:t>
      </w:r>
      <w:r>
        <w:rPr>
          <w:rFonts w:hint="eastAsia" w:ascii="黑体" w:hAnsi="黑体" w:eastAsia="黑体" w:cs="黑体"/>
          <w:sz w:val="32"/>
          <w:szCs w:val="40"/>
          <w:lang w:val="en-US" w:eastAsia="zh-CN"/>
        </w:rPr>
        <w:t>五</w:t>
      </w:r>
      <w:r>
        <w:rPr>
          <w:rFonts w:hint="eastAsia" w:ascii="黑体" w:hAnsi="黑体" w:eastAsia="黑体" w:cs="黑体"/>
          <w:sz w:val="32"/>
          <w:szCs w:val="40"/>
        </w:rPr>
        <w:t>章 修旧利废的质量认定</w:t>
      </w:r>
    </w:p>
    <w:p w14:paraId="312EDE5F">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第九条</w:t>
      </w:r>
      <w:r>
        <w:rPr>
          <w:rFonts w:hint="eastAsia" w:ascii="仿宋_GB2312" w:hAnsi="仿宋_GB2312" w:eastAsia="仿宋_GB2312" w:cs="仿宋_GB2312"/>
          <w:sz w:val="32"/>
          <w:szCs w:val="40"/>
        </w:rPr>
        <w:t xml:space="preserve"> 质量验收</w:t>
      </w:r>
    </w:p>
    <w:p w14:paraId="6E15B8D4">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（一）修复的各类旧设备、旧物资等用于在线工作的需经检测合格后，有检验或验收报告方能使用。 </w:t>
      </w:r>
    </w:p>
    <w:p w14:paraId="52608072">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（二）各类电器元件需经测试合格后，方可使用。 </w:t>
      </w:r>
    </w:p>
    <w:p w14:paraId="5B2C70C0">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（三）</w:t>
      </w:r>
      <w:r>
        <w:rPr>
          <w:rFonts w:hint="eastAsia" w:ascii="仿宋_GB2312" w:hAnsi="仿宋_GB2312" w:eastAsia="仿宋_GB2312" w:cs="仿宋_GB2312"/>
          <w:sz w:val="32"/>
          <w:szCs w:val="40"/>
          <w:lang w:eastAsia="zh-CN"/>
        </w:rPr>
        <w:t>其他</w:t>
      </w:r>
      <w:r>
        <w:rPr>
          <w:rFonts w:hint="eastAsia" w:ascii="仿宋_GB2312" w:hAnsi="仿宋_GB2312" w:eastAsia="仿宋_GB2312" w:cs="仿宋_GB2312"/>
          <w:sz w:val="32"/>
          <w:szCs w:val="40"/>
        </w:rPr>
        <w:t xml:space="preserve">各类修旧利废及备件修复后要提交技术参数、性能试验报告等资料，并最终以安装使用正常来确定。 </w:t>
      </w:r>
    </w:p>
    <w:p w14:paraId="52EE5FB3">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（四）修旧利废的质量认证由部门申请，经分管领导同意后</w:t>
      </w:r>
      <w:r>
        <w:rPr>
          <w:rFonts w:hint="eastAsia" w:ascii="仿宋_GB2312" w:hAnsi="仿宋_GB2312" w:eastAsia="仿宋_GB2312" w:cs="仿宋_GB2312"/>
          <w:sz w:val="32"/>
          <w:szCs w:val="40"/>
          <w:lang w:eastAsia="zh-CN"/>
        </w:rPr>
        <w:t>，由</w:t>
      </w:r>
      <w:r>
        <w:rPr>
          <w:rFonts w:hint="eastAsia" w:ascii="仿宋_GB2312" w:hAnsi="仿宋_GB2312" w:eastAsia="仿宋_GB2312" w:cs="仿宋_GB2312"/>
          <w:sz w:val="32"/>
          <w:szCs w:val="40"/>
        </w:rPr>
        <w:t xml:space="preserve">申请部门牵头组织相关部门进行鉴定，并出具鉴定意见。 </w:t>
      </w:r>
    </w:p>
    <w:p w14:paraId="46A0A25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p>
    <w:p w14:paraId="1DDA29B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w:t>
      </w:r>
      <w:r>
        <w:rPr>
          <w:rFonts w:hint="eastAsia" w:ascii="黑体" w:hAnsi="黑体" w:eastAsia="黑体" w:cs="黑体"/>
          <w:sz w:val="32"/>
          <w:szCs w:val="40"/>
          <w:lang w:val="en-US" w:eastAsia="zh-CN"/>
        </w:rPr>
        <w:t>六</w:t>
      </w:r>
      <w:r>
        <w:rPr>
          <w:rFonts w:hint="eastAsia" w:ascii="黑体" w:hAnsi="黑体" w:eastAsia="黑体" w:cs="黑体"/>
          <w:sz w:val="32"/>
          <w:szCs w:val="40"/>
        </w:rPr>
        <w:t>章 修旧利废工作的经济测算及兑现标准</w:t>
      </w:r>
    </w:p>
    <w:p w14:paraId="557F73ED">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第十条 </w:t>
      </w:r>
      <w:r>
        <w:rPr>
          <w:rFonts w:hint="eastAsia" w:ascii="仿宋_GB2312" w:hAnsi="仿宋_GB2312" w:eastAsia="仿宋_GB2312" w:cs="仿宋_GB2312"/>
          <w:sz w:val="32"/>
          <w:szCs w:val="40"/>
        </w:rPr>
        <w:t>所有的废旧物资修复经验收使用合格后并投入使用1个月以上；可以按单项修旧利废工作经济效益测算：修旧利废的价值=目前账面价值×</w:t>
      </w:r>
      <w:r>
        <w:rPr>
          <w:rFonts w:hint="eastAsia" w:ascii="仿宋_GB2312" w:hAnsi="仿宋_GB2312" w:eastAsia="仿宋_GB2312" w:cs="仿宋_GB2312"/>
          <w:sz w:val="32"/>
          <w:szCs w:val="40"/>
        </w:rPr>
        <w:t>20%-修理费（投入材料、人工等费用）；单项修旧利废工作考核结算最高额度不超过3000元；纳入部门（车间）的效益工资。</w:t>
      </w:r>
    </w:p>
    <w:p w14:paraId="158F1D26">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废旧材料自制加工成新物资，按原值（或测算价值）的 40%计算或新材料自制加工新物资按原值的40%</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投入部分材料、人工等费用计算。单项修旧利废工作考核结算最高额度不超过3000元；纳入部门（车间）的效益工资。</w:t>
      </w:r>
    </w:p>
    <w:p w14:paraId="07B21F0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p>
    <w:p w14:paraId="2E5DEA5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40"/>
        </w:rPr>
      </w:pPr>
      <w:r>
        <w:rPr>
          <w:rFonts w:hint="eastAsia" w:ascii="黑体" w:hAnsi="黑体" w:eastAsia="黑体" w:cs="黑体"/>
          <w:sz w:val="32"/>
          <w:szCs w:val="40"/>
        </w:rPr>
        <w:t>第</w:t>
      </w:r>
      <w:r>
        <w:rPr>
          <w:rFonts w:hint="eastAsia" w:ascii="黑体" w:hAnsi="黑体" w:eastAsia="黑体" w:cs="黑体"/>
          <w:sz w:val="32"/>
          <w:szCs w:val="40"/>
          <w:lang w:val="en-US" w:eastAsia="zh-CN"/>
        </w:rPr>
        <w:t>七</w:t>
      </w:r>
      <w:r>
        <w:rPr>
          <w:rFonts w:hint="eastAsia" w:ascii="黑体" w:hAnsi="黑体" w:eastAsia="黑体" w:cs="黑体"/>
          <w:sz w:val="32"/>
          <w:szCs w:val="40"/>
        </w:rPr>
        <w:t>章 其他</w:t>
      </w:r>
    </w:p>
    <w:p w14:paraId="63F2B8AE">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 xml:space="preserve">第十一条 </w:t>
      </w:r>
      <w:r>
        <w:rPr>
          <w:rFonts w:hint="eastAsia" w:ascii="仿宋_GB2312" w:hAnsi="仿宋_GB2312" w:eastAsia="仿宋_GB2312" w:cs="仿宋_GB2312"/>
          <w:sz w:val="32"/>
          <w:szCs w:val="40"/>
        </w:rPr>
        <w:t>各部门对移交可修复物资及领用已修复物资要建立收发存台账。无复用价值物资的处置按公司《废旧物资处置管理办法》等文件制度执行。废旧物资建账周期为上月25日到本月26日，次月2日前报送经管物资部，作为考核依据。</w:t>
      </w:r>
    </w:p>
    <w:p w14:paraId="71A3DF32">
      <w:pPr>
        <w:keepNext w:val="0"/>
        <w:keepLines w:val="0"/>
        <w:pageBreakBefore w:val="0"/>
        <w:widowControl w:val="0"/>
        <w:kinsoku/>
        <w:wordWrap/>
        <w:overflowPunct/>
        <w:topLinePunct w:val="0"/>
        <w:autoSpaceDE/>
        <w:autoSpaceDN/>
        <w:bidi w:val="0"/>
        <w:adjustRightInd/>
        <w:snapToGrid/>
        <w:spacing w:line="520" w:lineRule="exact"/>
        <w:ind w:firstLine="640"/>
        <w:textAlignment w:val="auto"/>
        <w:rPr>
          <w:rFonts w:hint="eastAsia" w:ascii="仿宋_GB2312" w:hAnsi="宋体" w:eastAsia="仿宋_GB2312" w:cs="仿宋_GB2312"/>
          <w:bCs/>
          <w:sz w:val="32"/>
          <w:szCs w:val="32"/>
        </w:rPr>
      </w:pPr>
      <w:r>
        <w:rPr>
          <w:rFonts w:hint="eastAsia" w:ascii="仿宋_GB2312" w:hAnsi="仿宋_GB2312" w:eastAsia="仿宋_GB2312" w:cs="仿宋_GB2312"/>
          <w:sz w:val="32"/>
          <w:szCs w:val="40"/>
        </w:rPr>
        <w:t>第十二条 本办法自印发之日起施行，原西北能化经营〔2025〕2号西北能化公司2025年经营管理与监督考核实施意见中附件4《修旧利废管理办法》同时废止。</w:t>
      </w:r>
    </w:p>
    <w:p w14:paraId="36B68843">
      <w:pPr>
        <w:spacing w:line="520" w:lineRule="exact"/>
        <w:rPr>
          <w:rFonts w:hint="eastAsia" w:ascii="仿宋_GB2312" w:hAnsi="宋体" w:eastAsia="仿宋_GB2312" w:cs="仿宋_GB2312"/>
          <w:bCs/>
          <w:sz w:val="32"/>
          <w:szCs w:val="32"/>
        </w:rPr>
      </w:pPr>
    </w:p>
    <w:p w14:paraId="77ADD436">
      <w:pPr>
        <w:spacing w:line="5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14:paraId="3C19B2F1">
      <w:pPr>
        <w:spacing w:line="52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2026年废旧物资处置管理办法</w:t>
      </w:r>
    </w:p>
    <w:p w14:paraId="40F290FB">
      <w:pPr>
        <w:spacing w:line="520" w:lineRule="exact"/>
        <w:rPr>
          <w:rFonts w:ascii="仿宋_GB2312" w:eastAsia="仿宋_GB2312"/>
          <w:sz w:val="32"/>
          <w:szCs w:val="32"/>
        </w:rPr>
      </w:pPr>
    </w:p>
    <w:p w14:paraId="7CDB8255">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第一章 总则</w:t>
      </w:r>
    </w:p>
    <w:p w14:paraId="0C23E627">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第一条 为加强废旧物资管理</w:t>
      </w:r>
      <w:r>
        <w:rPr>
          <w:rFonts w:hint="eastAsia" w:ascii="仿宋_GB2312" w:eastAsia="仿宋_GB2312"/>
          <w:sz w:val="32"/>
          <w:szCs w:val="32"/>
        </w:rPr>
        <w:t>、杜绝浪费现象，确保废旧物资管理工作更加规范、准确和有序</w:t>
      </w:r>
      <w:r>
        <w:rPr>
          <w:rFonts w:hint="eastAsia" w:ascii="仿宋_GB2312" w:eastAsia="仿宋_GB2312"/>
          <w:sz w:val="32"/>
          <w:szCs w:val="32"/>
          <w:lang w:eastAsia="zh-CN"/>
        </w:rPr>
        <w:t>，</w:t>
      </w:r>
      <w:r>
        <w:rPr>
          <w:rFonts w:hint="eastAsia" w:ascii="仿宋_GB2312" w:eastAsia="仿宋_GB2312"/>
          <w:sz w:val="32"/>
          <w:szCs w:val="32"/>
        </w:rPr>
        <w:t>降低生产成本和材料消耗</w:t>
      </w:r>
      <w:r>
        <w:rPr>
          <w:rFonts w:hint="eastAsia" w:ascii="仿宋_GB2312" w:eastAsia="仿宋_GB2312"/>
          <w:sz w:val="32"/>
          <w:szCs w:val="32"/>
          <w:lang w:eastAsia="zh-CN"/>
        </w:rPr>
        <w:t>，</w:t>
      </w:r>
      <w:r>
        <w:rPr>
          <w:rFonts w:hint="eastAsia" w:ascii="仿宋_GB2312" w:eastAsia="仿宋_GB2312"/>
          <w:sz w:val="32"/>
          <w:szCs w:val="32"/>
        </w:rPr>
        <w:t>提升企业效益</w:t>
      </w:r>
      <w:r>
        <w:rPr>
          <w:rFonts w:hint="eastAsia" w:ascii="仿宋_GB2312" w:eastAsia="仿宋_GB2312"/>
          <w:sz w:val="32"/>
          <w:szCs w:val="32"/>
          <w:lang w:eastAsia="zh-CN"/>
        </w:rPr>
        <w:t>，</w:t>
      </w:r>
      <w:r>
        <w:rPr>
          <w:rFonts w:hint="eastAsia" w:ascii="仿宋_GB2312" w:eastAsia="仿宋_GB2312"/>
          <w:sz w:val="32"/>
          <w:szCs w:val="32"/>
        </w:rPr>
        <w:t>依据皖北煤电经营</w:t>
      </w:r>
      <w:r>
        <w:rPr>
          <w:rFonts w:hint="eastAsia" w:ascii="仿宋_GB2312" w:eastAsia="仿宋_GB2312"/>
          <w:sz w:val="32"/>
          <w:szCs w:val="32"/>
          <w:lang w:eastAsia="zh-CN"/>
        </w:rPr>
        <w:t>〔2024〕130号</w:t>
      </w:r>
      <w:r>
        <w:rPr>
          <w:rFonts w:hint="eastAsia" w:ascii="仿宋_GB2312" w:eastAsia="仿宋_GB2312"/>
          <w:sz w:val="32"/>
          <w:szCs w:val="32"/>
        </w:rPr>
        <w:t>文，特修订本办法。</w:t>
      </w:r>
    </w:p>
    <w:p w14:paraId="58410F9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第二条</w:t>
      </w:r>
      <w:r>
        <w:rPr>
          <w:rFonts w:hint="eastAsia" w:ascii="仿宋_GB2312" w:eastAsia="仿宋_GB2312"/>
          <w:sz w:val="32"/>
          <w:szCs w:val="32"/>
          <w:lang w:val="en-US" w:eastAsia="zh-CN"/>
        </w:rPr>
        <w:t xml:space="preserve"> </w:t>
      </w:r>
      <w:r>
        <w:rPr>
          <w:rFonts w:hint="eastAsia" w:ascii="仿宋_GB2312" w:eastAsia="仿宋_GB2312"/>
          <w:sz w:val="32"/>
          <w:szCs w:val="32"/>
        </w:rPr>
        <w:t>本规定所称废旧物资是指生产更换的配件、管路、电缆、橡胶制品、阀门、库存物资、废旧材料等资产因各种原因丧失原有功能</w:t>
      </w:r>
      <w:r>
        <w:rPr>
          <w:rFonts w:hint="eastAsia" w:ascii="仿宋_GB2312" w:eastAsia="仿宋_GB2312"/>
          <w:sz w:val="32"/>
          <w:szCs w:val="32"/>
          <w:lang w:eastAsia="zh-CN"/>
        </w:rPr>
        <w:t>且在</w:t>
      </w:r>
      <w:r>
        <w:rPr>
          <w:rFonts w:hint="eastAsia" w:ascii="仿宋_GB2312" w:eastAsia="仿宋_GB2312"/>
          <w:sz w:val="32"/>
          <w:szCs w:val="32"/>
        </w:rPr>
        <w:t>公司范围内不再具备使用价值的，或国家明令淘汰的材料，以及因修复价值较高无修复价值而形成的报废资产。</w:t>
      </w:r>
    </w:p>
    <w:p w14:paraId="530071F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第三条</w:t>
      </w:r>
      <w:r>
        <w:rPr>
          <w:rFonts w:hint="eastAsia" w:ascii="仿宋_GB2312" w:eastAsia="仿宋_GB2312"/>
          <w:sz w:val="32"/>
          <w:szCs w:val="32"/>
          <w:lang w:val="en-US" w:eastAsia="zh-CN"/>
        </w:rPr>
        <w:t xml:space="preserve"> </w:t>
      </w:r>
      <w:r>
        <w:rPr>
          <w:rFonts w:hint="eastAsia" w:ascii="仿宋_GB2312" w:eastAsia="仿宋_GB2312"/>
          <w:sz w:val="32"/>
          <w:szCs w:val="32"/>
        </w:rPr>
        <w:t>废旧物资处置应坚持依法合规、分类处置和效益最优原则。</w:t>
      </w:r>
    </w:p>
    <w:p w14:paraId="0B430540">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32"/>
          <w:szCs w:val="32"/>
        </w:rPr>
      </w:pPr>
    </w:p>
    <w:p w14:paraId="53201313">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第二章</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组织机构及管理职责</w:t>
      </w:r>
    </w:p>
    <w:p w14:paraId="1088A8A8">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第四条 公司成立以党委书记/董事长、总经理为组长，经营副总经理、各业务单位分管领导为副组长，副总师及各部门负责人为成员的领导小组。 </w:t>
      </w:r>
    </w:p>
    <w:p w14:paraId="65BAE5F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（一）领导小组职责 </w:t>
      </w:r>
    </w:p>
    <w:p w14:paraId="4E14D94C">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负责拟定、协调、解决废旧物资各环节及处置相关问题。 </w:t>
      </w:r>
    </w:p>
    <w:p w14:paraId="10E104A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（二）成员单位职责 </w:t>
      </w:r>
    </w:p>
    <w:p w14:paraId="237CAF3F">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1.经管物资部负责受理材料类废旧物资鉴定申请、组织废旧材料现场鉴定，并提出初步鉴定意见和处置方案等；签订废旧材料处置合同；组织监督装车、过磅和出门证办理。</w:t>
      </w:r>
    </w:p>
    <w:p w14:paraId="015BD44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2.设备管理部负责受理设备类废旧物资鉴定申请、组织废旧设备现场鉴定</w:t>
      </w:r>
      <w:r>
        <w:rPr>
          <w:rFonts w:hint="eastAsia" w:ascii="仿宋_GB2312" w:eastAsia="仿宋_GB2312"/>
          <w:sz w:val="32"/>
          <w:szCs w:val="32"/>
        </w:rPr>
        <w:t>；并提出初步鉴定意见和处置方案等</w:t>
      </w:r>
      <w:r>
        <w:rPr>
          <w:rFonts w:hint="eastAsia" w:ascii="仿宋_GB2312" w:eastAsia="仿宋_GB2312"/>
          <w:sz w:val="32"/>
          <w:szCs w:val="32"/>
        </w:rPr>
        <w:t>；签订废旧</w:t>
      </w:r>
      <w:r>
        <w:rPr>
          <w:rFonts w:hint="eastAsia" w:ascii="仿宋_GB2312" w:eastAsia="仿宋_GB2312"/>
          <w:sz w:val="32"/>
          <w:szCs w:val="32"/>
        </w:rPr>
        <w:t>设备处置合同</w:t>
      </w:r>
      <w:r>
        <w:rPr>
          <w:rFonts w:hint="eastAsia" w:ascii="仿宋_GB2312" w:eastAsia="仿宋_GB2312"/>
          <w:sz w:val="32"/>
          <w:szCs w:val="32"/>
        </w:rPr>
        <w:t>；组织废旧</w:t>
      </w:r>
      <w:r>
        <w:rPr>
          <w:rFonts w:hint="eastAsia" w:ascii="仿宋_GB2312" w:eastAsia="仿宋_GB2312"/>
          <w:sz w:val="32"/>
          <w:szCs w:val="32"/>
        </w:rPr>
        <w:t>设备整理和清运</w:t>
      </w:r>
      <w:r>
        <w:rPr>
          <w:rFonts w:hint="eastAsia" w:ascii="仿宋_GB2312" w:eastAsia="仿宋_GB2312"/>
          <w:sz w:val="32"/>
          <w:szCs w:val="32"/>
        </w:rPr>
        <w:t>；组织监督装车、过磅和出门证办理。</w:t>
      </w:r>
    </w:p>
    <w:p w14:paraId="3AEBCA8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3.安全监管部负责受理</w:t>
      </w:r>
      <w:r>
        <w:rPr>
          <w:rFonts w:hint="eastAsia" w:ascii="仿宋_GB2312" w:eastAsia="仿宋_GB2312"/>
          <w:sz w:val="32"/>
          <w:szCs w:val="32"/>
        </w:rPr>
        <w:t>危（固）废废旧物资鉴定申请</w:t>
      </w:r>
      <w:r>
        <w:rPr>
          <w:rFonts w:hint="eastAsia" w:ascii="仿宋_GB2312" w:eastAsia="仿宋_GB2312"/>
          <w:sz w:val="32"/>
          <w:szCs w:val="32"/>
        </w:rPr>
        <w:t>，对危（固）废废旧物资鉴定工作，并提出初步鉴定意见；对接政府环保部门办理固体废物处置过程中相关环保处置手续，监管现场处置过程中处置流程是否符合相关环保标准规范，负责配合地方环保部门进行现场查验；参与废旧</w:t>
      </w:r>
      <w:r>
        <w:rPr>
          <w:rFonts w:hint="eastAsia" w:ascii="仿宋_GB2312" w:eastAsia="仿宋_GB2312"/>
          <w:sz w:val="32"/>
          <w:szCs w:val="32"/>
        </w:rPr>
        <w:t>物资整理和清运</w:t>
      </w:r>
      <w:r>
        <w:rPr>
          <w:rFonts w:hint="eastAsia" w:ascii="仿宋_GB2312" w:eastAsia="仿宋_GB2312"/>
          <w:sz w:val="32"/>
          <w:szCs w:val="32"/>
        </w:rPr>
        <w:t>、监督装车、过磅和出门证办理。</w:t>
      </w:r>
    </w:p>
    <w:p w14:paraId="02C5D7B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4.财务部负责资产账务处理的指导和规范性检查，参与现场鉴定废旧物资</w:t>
      </w:r>
      <w:r>
        <w:rPr>
          <w:rFonts w:hint="eastAsia" w:ascii="仿宋_GB2312" w:eastAsia="仿宋_GB2312"/>
          <w:sz w:val="32"/>
          <w:szCs w:val="32"/>
        </w:rPr>
        <w:t>及处置方式；参与废旧</w:t>
      </w:r>
      <w:r>
        <w:rPr>
          <w:rFonts w:hint="eastAsia" w:ascii="仿宋_GB2312" w:eastAsia="仿宋_GB2312"/>
          <w:sz w:val="32"/>
          <w:szCs w:val="32"/>
        </w:rPr>
        <w:t>材料、设备整理和清运</w:t>
      </w:r>
      <w:r>
        <w:rPr>
          <w:rFonts w:hint="eastAsia" w:ascii="仿宋_GB2312" w:eastAsia="仿宋_GB2312"/>
          <w:sz w:val="32"/>
          <w:szCs w:val="32"/>
        </w:rPr>
        <w:t>、监督装车、过磅和出门证办理。</w:t>
      </w:r>
    </w:p>
    <w:p w14:paraId="7AF0722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5.销售采购部、综合部等部门参与现场鉴定废旧</w:t>
      </w:r>
      <w:r>
        <w:rPr>
          <w:rFonts w:hint="eastAsia" w:ascii="仿宋_GB2312" w:eastAsia="仿宋_GB2312"/>
          <w:sz w:val="32"/>
          <w:szCs w:val="32"/>
        </w:rPr>
        <w:t>物资及处置方式；参与材料、设备整理和清运</w:t>
      </w:r>
      <w:r>
        <w:rPr>
          <w:rFonts w:hint="eastAsia" w:ascii="仿宋_GB2312" w:eastAsia="仿宋_GB2312"/>
          <w:sz w:val="32"/>
          <w:szCs w:val="32"/>
        </w:rPr>
        <w:t>、监督装车、过磅和出门证办理。</w:t>
      </w:r>
    </w:p>
    <w:p w14:paraId="7557F54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6.检修车间负责</w:t>
      </w:r>
      <w:r>
        <w:rPr>
          <w:rFonts w:hint="eastAsia" w:ascii="仿宋_GB2312" w:eastAsia="仿宋_GB2312"/>
          <w:sz w:val="32"/>
          <w:szCs w:val="32"/>
        </w:rPr>
        <w:t>接收各单位回收的物资，按照回收物资类别分区域码放，上报废旧物资处理意见；参与材料、设备整理和清运</w:t>
      </w:r>
      <w:r>
        <w:rPr>
          <w:rFonts w:hint="eastAsia" w:ascii="仿宋_GB2312" w:eastAsia="仿宋_GB2312"/>
          <w:sz w:val="32"/>
          <w:szCs w:val="32"/>
        </w:rPr>
        <w:t>、监督装车、过磅和出门证办理</w:t>
      </w:r>
      <w:r>
        <w:rPr>
          <w:rFonts w:hint="eastAsia" w:ascii="仿宋_GB2312" w:eastAsia="仿宋_GB2312"/>
          <w:sz w:val="32"/>
          <w:szCs w:val="32"/>
        </w:rPr>
        <w:t>。</w:t>
      </w:r>
    </w:p>
    <w:p w14:paraId="4A69445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7.各车间负责废旧物资分拣、整理送交，提交废旧物资</w:t>
      </w:r>
      <w:r>
        <w:rPr>
          <w:rFonts w:hint="eastAsia" w:ascii="仿宋_GB2312" w:eastAsia="仿宋_GB2312"/>
          <w:sz w:val="32"/>
          <w:szCs w:val="32"/>
        </w:rPr>
        <w:t>处置申请，</w:t>
      </w:r>
      <w:r>
        <w:rPr>
          <w:rFonts w:hint="eastAsia" w:ascii="仿宋_GB2312" w:eastAsia="仿宋_GB2312"/>
          <w:sz w:val="32"/>
          <w:szCs w:val="32"/>
        </w:rPr>
        <w:t>参与材料、设备整理和清运</w:t>
      </w:r>
      <w:r>
        <w:rPr>
          <w:rFonts w:hint="eastAsia" w:ascii="仿宋_GB2312" w:eastAsia="仿宋_GB2312"/>
          <w:sz w:val="32"/>
          <w:szCs w:val="32"/>
        </w:rPr>
        <w:t>、监督装车、过磅和出门证办理</w:t>
      </w:r>
      <w:r>
        <w:rPr>
          <w:rFonts w:hint="eastAsia" w:ascii="仿宋_GB2312" w:eastAsia="仿宋_GB2312"/>
          <w:sz w:val="32"/>
          <w:szCs w:val="32"/>
        </w:rPr>
        <w:t>；参与现场</w:t>
      </w:r>
      <w:r>
        <w:rPr>
          <w:rFonts w:hint="eastAsia" w:ascii="仿宋_GB2312" w:eastAsia="仿宋_GB2312"/>
          <w:sz w:val="32"/>
          <w:szCs w:val="32"/>
        </w:rPr>
        <w:t>鉴定废旧</w:t>
      </w:r>
      <w:r>
        <w:rPr>
          <w:rFonts w:hint="eastAsia" w:ascii="仿宋_GB2312" w:eastAsia="仿宋_GB2312"/>
          <w:sz w:val="32"/>
          <w:szCs w:val="32"/>
        </w:rPr>
        <w:t>物资及处置方式。</w:t>
      </w:r>
    </w:p>
    <w:p w14:paraId="4702C679">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32"/>
          <w:szCs w:val="32"/>
        </w:rPr>
      </w:pPr>
    </w:p>
    <w:p w14:paraId="436F8337">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第三章</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处置方式及程序</w:t>
      </w:r>
    </w:p>
    <w:p w14:paraId="2809A50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第五条</w:t>
      </w:r>
      <w:r>
        <w:rPr>
          <w:rFonts w:hint="eastAsia" w:ascii="仿宋_GB2312" w:eastAsia="仿宋_GB2312"/>
          <w:sz w:val="32"/>
          <w:szCs w:val="32"/>
        </w:rPr>
        <w:t xml:space="preserve"> 分类分拣。废旧物资应按机械设备类、电气设备类、废旧钢材类、橡胶制品类、备品配件类等分类、分拣，集中管理。</w:t>
      </w:r>
    </w:p>
    <w:p w14:paraId="150BF0E8">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第六条 </w:t>
      </w:r>
      <w:r>
        <w:rPr>
          <w:rFonts w:hint="eastAsia" w:ascii="仿宋_GB2312" w:eastAsia="仿宋_GB2312"/>
          <w:sz w:val="32"/>
          <w:szCs w:val="32"/>
        </w:rPr>
        <w:t xml:space="preserve">报废鉴定。废旧物资处置前应进行报废鉴定程序。 </w:t>
      </w:r>
    </w:p>
    <w:p w14:paraId="0625AA1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楷体_GB2312" w:hAnsi="楷体_GB2312" w:eastAsia="楷体_GB2312" w:cs="楷体_GB2312"/>
          <w:sz w:val="32"/>
          <w:szCs w:val="32"/>
        </w:rPr>
        <w:t>（一）设备类。</w:t>
      </w:r>
      <w:r>
        <w:rPr>
          <w:rFonts w:hint="eastAsia" w:ascii="仿宋_GB2312" w:eastAsia="仿宋_GB2312"/>
          <w:sz w:val="32"/>
          <w:szCs w:val="32"/>
        </w:rPr>
        <w:t xml:space="preserve">各单位应按照《西北能化公司设备管理办法》要求履行鉴定程序，按机械类、电气类归集整理、登记造册后申请鉴定并出具意见，报领导小组组长及副组长审核；由设备管理部提交报废鉴定申请，经集团公司化工部等组织进行现场或远程视频鉴定，出具鉴定意见后再进行处置。 </w:t>
      </w:r>
    </w:p>
    <w:p w14:paraId="6DFAAB2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楷体_GB2312" w:hAnsi="楷体_GB2312" w:eastAsia="楷体_GB2312" w:cs="楷体_GB2312"/>
          <w:sz w:val="32"/>
          <w:szCs w:val="32"/>
        </w:rPr>
        <w:t>（二）材料类。</w:t>
      </w:r>
      <w:r>
        <w:rPr>
          <w:rFonts w:hint="eastAsia" w:ascii="仿宋_GB2312" w:eastAsia="仿宋_GB2312"/>
          <w:sz w:val="32"/>
          <w:szCs w:val="32"/>
        </w:rPr>
        <w:t>废旧物资归属单位提交废旧物资申请并经部门、分管领导同意，经管物资部组织相关人员现场鉴定并出具意见，报领导小组组长及副组长审核；通过后上报集团公司化工部、经管部。由集团公司经管部组织进行现场或远程视频鉴定，出具鉴定意见后再进行处置。</w:t>
      </w:r>
    </w:p>
    <w:p w14:paraId="448450CE">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楷体_GB2312" w:hAnsi="楷体_GB2312" w:eastAsia="楷体_GB2312" w:cs="楷体_GB2312"/>
          <w:sz w:val="32"/>
          <w:szCs w:val="32"/>
        </w:rPr>
        <w:t>（三）固（危）废类。</w:t>
      </w:r>
      <w:r>
        <w:rPr>
          <w:rFonts w:hint="eastAsia" w:ascii="仿宋_GB2312" w:eastAsia="仿宋_GB2312"/>
          <w:sz w:val="32"/>
          <w:szCs w:val="32"/>
        </w:rPr>
        <w:t xml:space="preserve">按照《国家危险废物名录》（2021年版）要求，由安全监管部出具初步意见，报领导小组组长及副组长审核；同意后落实固（危）废处置。 </w:t>
      </w:r>
    </w:p>
    <w:p w14:paraId="231CC8AD">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第七条</w:t>
      </w:r>
      <w:r>
        <w:rPr>
          <w:rFonts w:hint="eastAsia" w:ascii="仿宋_GB2312" w:eastAsia="仿宋_GB2312"/>
          <w:sz w:val="32"/>
          <w:szCs w:val="32"/>
          <w:lang w:val="en-US" w:eastAsia="zh-CN"/>
        </w:rPr>
        <w:t xml:space="preserve"> </w:t>
      </w:r>
      <w:r>
        <w:rPr>
          <w:rFonts w:hint="eastAsia" w:ascii="仿宋_GB2312" w:eastAsia="仿宋_GB2312"/>
          <w:sz w:val="32"/>
          <w:szCs w:val="32"/>
        </w:rPr>
        <w:t>定价方式</w:t>
      </w:r>
    </w:p>
    <w:p w14:paraId="224B668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一）通过集团公司经管部招标入围的拍卖公司，委托拍卖公司以公开竞拍方式处置废旧物资。拍卖公司根据废旧物资属性、结合市场行情，提出初步建议函（标底价），经西北能化公司领导小组通过后，确定标底价。</w:t>
      </w:r>
    </w:p>
    <w:p w14:paraId="41A8D5B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（二）公开拍卖流拍的，调整标底价按照本办法第七条第一款执行。</w:t>
      </w:r>
    </w:p>
    <w:p w14:paraId="051B4EFC">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第八条</w:t>
      </w:r>
      <w:r>
        <w:rPr>
          <w:rFonts w:hint="eastAsia" w:ascii="仿宋_GB2312" w:eastAsia="仿宋_GB2312"/>
          <w:sz w:val="32"/>
          <w:szCs w:val="32"/>
        </w:rPr>
        <w:t xml:space="preserve"> 废旧物资处置应履行相应的审批、决策程序。 </w:t>
      </w:r>
    </w:p>
    <w:p w14:paraId="03B1BEF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（一）通过公开方式处置废旧物资的，</w:t>
      </w:r>
      <w:r>
        <w:rPr>
          <w:rFonts w:hint="eastAsia" w:ascii="仿宋_GB2312" w:eastAsia="仿宋_GB2312"/>
          <w:sz w:val="32"/>
          <w:szCs w:val="32"/>
          <w:lang w:eastAsia="zh-CN"/>
        </w:rPr>
        <w:t>依据</w:t>
      </w:r>
      <w:r>
        <w:rPr>
          <w:rFonts w:hint="eastAsia" w:ascii="仿宋_GB2312" w:eastAsia="仿宋_GB2312"/>
          <w:sz w:val="32"/>
          <w:szCs w:val="32"/>
        </w:rPr>
        <w:t xml:space="preserve">集团公司鉴定的处置意见，由西北能化公司履行内部审核审批手续； </w:t>
      </w:r>
    </w:p>
    <w:p w14:paraId="54F6C92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（二）以非公开方式处置废旧物资的，由西北能化公司拟订处置方案，按规定履行相应的审核审批后，经集团公司经管部组织审查论证，依据决策结果再进行处置。 </w:t>
      </w:r>
    </w:p>
    <w:p w14:paraId="1A90312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（三）涉及资产类的废旧物资处置前，应根据资产管理相关规定履行相应决策程序。</w:t>
      </w:r>
    </w:p>
    <w:p w14:paraId="28BA0699">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第九条</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采取公开拍卖或进场交易处置方式的，应遵循以下程序： </w:t>
      </w:r>
    </w:p>
    <w:p w14:paraId="039BF13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（一）标段划分 </w:t>
      </w:r>
    </w:p>
    <w:p w14:paraId="10820927">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废旧物资归属单位废旧物资处置前，应按机械设备类、电气设备类，废旧钢材类、橡胶制品类等划分标段，并预估各标段名称、重量、数量、材质等。 </w:t>
      </w:r>
    </w:p>
    <w:p w14:paraId="67A5D0C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（二）竞拍拍卖</w:t>
      </w:r>
    </w:p>
    <w:p w14:paraId="5F47DB5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1.委托拍卖机构提出废旧物资目前市场行情作为竞拍底价参考依据，经公司领导小组审定同意后，确定标底价。委托集团公司经管部招标入围的指定的拍卖公司进行拍卖。一旦发布竞拍公告，标的物不得擅自变动。 </w:t>
      </w:r>
    </w:p>
    <w:p w14:paraId="62B7033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rPr>
        <w:t>竞拍保证金（含履约保证金）一般不低于预估成交金额的30%</w:t>
      </w:r>
      <w:r>
        <w:rPr>
          <w:rFonts w:hint="eastAsia" w:ascii="仿宋_GB2312" w:eastAsia="仿宋_GB2312"/>
          <w:sz w:val="32"/>
          <w:szCs w:val="32"/>
        </w:rPr>
        <w:t>，由辅拍机构拍卖前代收代管。其中的履约保证金不超过预估成交金额的 10%</w:t>
      </w:r>
      <w:r>
        <w:rPr>
          <w:rFonts w:hint="eastAsia" w:ascii="仿宋_GB2312" w:eastAsia="仿宋_GB2312"/>
          <w:sz w:val="32"/>
          <w:szCs w:val="32"/>
        </w:rPr>
        <w:t xml:space="preserve">，成交人违约的，履约保证金由辅拍机构直接划转至委托人。履约保证金不得冲抵货款。 </w:t>
      </w:r>
    </w:p>
    <w:p w14:paraId="2202D73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rPr>
        <w:t>第一次拍卖流拍的，经公司领导小组同意应调整拍卖底价或变更拍卖条件，组织第二次拍卖，第二次拍卖底价一般不低于第一次的 90%</w:t>
      </w:r>
      <w:r>
        <w:rPr>
          <w:rFonts w:hint="eastAsia" w:ascii="仿宋_GB2312" w:eastAsia="仿宋_GB2312"/>
          <w:sz w:val="32"/>
          <w:szCs w:val="32"/>
        </w:rPr>
        <w:t xml:space="preserve">。再次流拍需调整拍卖底价的，经公司领导小组同意应调整批准同意，方可重新组织拍卖。 </w:t>
      </w:r>
    </w:p>
    <w:p w14:paraId="6207B72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（三）签订合同 </w:t>
      </w:r>
    </w:p>
    <w:p w14:paraId="5D09CF9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拍卖成交后，根据辅拍机构提供的成交通知书或成交确认书，与买受人签订废旧物资购销合同（附件 1</w:t>
      </w:r>
      <w:r>
        <w:rPr>
          <w:rFonts w:hint="eastAsia" w:ascii="仿宋_GB2312" w:eastAsia="仿宋_GB2312"/>
          <w:sz w:val="32"/>
          <w:szCs w:val="32"/>
        </w:rPr>
        <w:t xml:space="preserve">），预收交易价款。 </w:t>
      </w:r>
    </w:p>
    <w:p w14:paraId="5C6CF8A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每批次废旧物资出场前，必须确保交易价款足额预付；清场前确保交易价款全额付清。</w:t>
      </w:r>
    </w:p>
    <w:p w14:paraId="5B8C8FC9">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（四）进场清运 </w:t>
      </w:r>
    </w:p>
    <w:p w14:paraId="3A74FFC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买受人凭购销合同及预付款凭证进场清运，各</w:t>
      </w:r>
      <w:r>
        <w:rPr>
          <w:rFonts w:hint="eastAsia" w:ascii="仿宋_GB2312" w:eastAsia="仿宋_GB2312"/>
          <w:sz w:val="32"/>
          <w:szCs w:val="32"/>
        </w:rPr>
        <w:t>单位应组织</w:t>
      </w:r>
      <w:r>
        <w:rPr>
          <w:rFonts w:hint="eastAsia" w:ascii="仿宋_GB2312" w:eastAsia="仿宋_GB2312"/>
          <w:sz w:val="32"/>
          <w:szCs w:val="32"/>
        </w:rPr>
        <w:t>专人负责现场监督装车、过磅计量和场内监运等关键环节，严格落实关键环节无监控不作业要求。严格履行合同约定，确保合法合规，料清场清。</w:t>
      </w:r>
    </w:p>
    <w:p w14:paraId="3585C63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第十条</w:t>
      </w:r>
      <w:r>
        <w:rPr>
          <w:rFonts w:hint="eastAsia" w:ascii="仿宋_GB2312" w:eastAsia="仿宋_GB2312"/>
          <w:sz w:val="32"/>
          <w:szCs w:val="32"/>
        </w:rPr>
        <w:t xml:space="preserve"> 账务处理 </w:t>
      </w:r>
    </w:p>
    <w:p w14:paraId="68112F8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账务处理。财务部门根据鉴定结果核销相关资产账面价值，需要报送上级主管部门备案的，应履行备案程序。 </w:t>
      </w:r>
    </w:p>
    <w:p w14:paraId="76590CD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第十一条 </w:t>
      </w:r>
      <w:r>
        <w:rPr>
          <w:rFonts w:hint="eastAsia" w:ascii="仿宋_GB2312" w:eastAsia="仿宋_GB2312"/>
          <w:sz w:val="32"/>
          <w:szCs w:val="32"/>
        </w:rPr>
        <w:t xml:space="preserve">废旧材料类物资处置周期原则上每半年一次，报废设备类物资处置周期原则上每年一次。 </w:t>
      </w:r>
    </w:p>
    <w:p w14:paraId="52671E84">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32"/>
        </w:rPr>
      </w:pPr>
    </w:p>
    <w:p w14:paraId="514E2976">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责任追究</w:t>
      </w:r>
    </w:p>
    <w:p w14:paraId="3E9964DD">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第十二条 各</w:t>
      </w:r>
      <w:r>
        <w:rPr>
          <w:rFonts w:hint="eastAsia" w:ascii="仿宋_GB2312" w:eastAsia="仿宋_GB2312"/>
          <w:sz w:val="32"/>
          <w:szCs w:val="32"/>
        </w:rPr>
        <w:t>单位要严格执行废旧物资处置管理办法，落实现场责任。重点做好以下工作：</w:t>
      </w:r>
    </w:p>
    <w:p w14:paraId="1DBF59B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1.</w:t>
      </w:r>
      <w:r>
        <w:rPr>
          <w:rFonts w:hint="eastAsia" w:ascii="仿宋_GB2312" w:eastAsia="仿宋_GB2312"/>
          <w:sz w:val="32"/>
          <w:szCs w:val="32"/>
        </w:rPr>
        <w:t xml:space="preserve">严禁不同标段的废旧物资混装； </w:t>
      </w:r>
    </w:p>
    <w:p w14:paraId="50E081E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2.</w:t>
      </w:r>
      <w:r>
        <w:rPr>
          <w:rFonts w:hint="eastAsia" w:ascii="仿宋_GB2312" w:eastAsia="仿宋_GB2312"/>
          <w:sz w:val="32"/>
          <w:szCs w:val="32"/>
        </w:rPr>
        <w:t xml:space="preserve">需现场拆解方可装车的废旧物资，应保留现场拆解的影像或照片资料； </w:t>
      </w:r>
    </w:p>
    <w:p w14:paraId="4FE3D03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3.</w:t>
      </w:r>
      <w:r>
        <w:rPr>
          <w:rFonts w:hint="eastAsia" w:ascii="仿宋_GB2312" w:eastAsia="仿宋_GB2312"/>
          <w:sz w:val="32"/>
          <w:szCs w:val="32"/>
        </w:rPr>
        <w:t xml:space="preserve">装车前应检查空车情况，空车、重车逐次过磅，且不得离开监装人员视线范围，装车时不得遗留、挑肥拣瘦，直至重车过磅完毕，防止弄虚作假。 </w:t>
      </w:r>
    </w:p>
    <w:p w14:paraId="71B76CEC">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第十三条 有下列情形之一的，依据公司有关规定追究相关责任人责任： </w:t>
      </w:r>
    </w:p>
    <w:p w14:paraId="24DA9A9D">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1.</w:t>
      </w:r>
      <w:r>
        <w:rPr>
          <w:rFonts w:hint="eastAsia" w:ascii="仿宋_GB2312" w:eastAsia="仿宋_GB2312"/>
          <w:sz w:val="32"/>
          <w:szCs w:val="32"/>
        </w:rPr>
        <w:t xml:space="preserve">违反本办法规定处置废旧物资的； </w:t>
      </w:r>
    </w:p>
    <w:p w14:paraId="716A3CB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2.</w:t>
      </w:r>
      <w:r>
        <w:rPr>
          <w:rFonts w:hint="eastAsia" w:ascii="仿宋_GB2312" w:eastAsia="仿宋_GB2312"/>
          <w:sz w:val="32"/>
          <w:szCs w:val="32"/>
        </w:rPr>
        <w:t xml:space="preserve">未依据竞拍结果签订合同或擅自变更合同内容的； </w:t>
      </w:r>
    </w:p>
    <w:p w14:paraId="13A7535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3.</w:t>
      </w:r>
      <w:r>
        <w:rPr>
          <w:rFonts w:hint="eastAsia" w:ascii="仿宋_GB2312" w:eastAsia="仿宋_GB2312"/>
          <w:sz w:val="32"/>
          <w:szCs w:val="32"/>
        </w:rPr>
        <w:t xml:space="preserve">与竞买人内外串通、暗箱操作的； </w:t>
      </w:r>
    </w:p>
    <w:p w14:paraId="15348F4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4.</w:t>
      </w:r>
      <w:r>
        <w:rPr>
          <w:rFonts w:hint="eastAsia" w:ascii="仿宋_GB2312" w:eastAsia="仿宋_GB2312"/>
          <w:sz w:val="32"/>
          <w:szCs w:val="32"/>
        </w:rPr>
        <w:t xml:space="preserve">现场监管不力，造成损失的； </w:t>
      </w:r>
    </w:p>
    <w:p w14:paraId="1C68DDB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5.</w:t>
      </w:r>
      <w:r>
        <w:rPr>
          <w:rFonts w:hint="eastAsia" w:ascii="仿宋_GB2312" w:eastAsia="仿宋_GB2312"/>
          <w:sz w:val="32"/>
          <w:szCs w:val="32"/>
        </w:rPr>
        <w:t xml:space="preserve">化整为零，规避公司审查的； </w:t>
      </w:r>
    </w:p>
    <w:p w14:paraId="7E0DE62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6.</w:t>
      </w:r>
      <w:r>
        <w:rPr>
          <w:rFonts w:hint="eastAsia" w:ascii="仿宋_GB2312" w:eastAsia="仿宋_GB2312"/>
          <w:sz w:val="32"/>
          <w:szCs w:val="32"/>
        </w:rPr>
        <w:t xml:space="preserve">其他违规行为的。 </w:t>
      </w:r>
    </w:p>
    <w:p w14:paraId="7642727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 xml:space="preserve">第十四条 </w:t>
      </w:r>
      <w:r>
        <w:rPr>
          <w:rFonts w:hint="eastAsia" w:ascii="仿宋_GB2312" w:eastAsia="仿宋_GB2312"/>
          <w:sz w:val="32"/>
          <w:szCs w:val="32"/>
        </w:rPr>
        <w:t>竞买人或买受人有下列情形的，禁止参与集团公司范围内废旧物资处置业务，造成损失的，依法追偿：</w:t>
      </w:r>
    </w:p>
    <w:p w14:paraId="6E2EA12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1.</w:t>
      </w:r>
      <w:r>
        <w:rPr>
          <w:rFonts w:hint="eastAsia" w:ascii="仿宋_GB2312" w:eastAsia="仿宋_GB2312"/>
          <w:sz w:val="32"/>
          <w:szCs w:val="32"/>
        </w:rPr>
        <w:t xml:space="preserve">相互串通或采取不正当竞拍手段的； </w:t>
      </w:r>
    </w:p>
    <w:p w14:paraId="0DE8AE6F">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2.</w:t>
      </w:r>
      <w:r>
        <w:rPr>
          <w:rFonts w:hint="eastAsia" w:ascii="仿宋_GB2312" w:eastAsia="仿宋_GB2312"/>
          <w:sz w:val="32"/>
          <w:szCs w:val="32"/>
        </w:rPr>
        <w:t xml:space="preserve">无正当理由拒不履行购销合同的； </w:t>
      </w:r>
    </w:p>
    <w:p w14:paraId="32788F6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3.</w:t>
      </w:r>
      <w:r>
        <w:rPr>
          <w:rFonts w:hint="eastAsia" w:ascii="仿宋_GB2312" w:eastAsia="仿宋_GB2312"/>
          <w:sz w:val="32"/>
          <w:szCs w:val="32"/>
        </w:rPr>
        <w:t xml:space="preserve">弄虚作假，盗取废旧物资的； </w:t>
      </w:r>
    </w:p>
    <w:p w14:paraId="562202F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eastAsia="zh-CN"/>
        </w:rPr>
        <w:t>4.</w:t>
      </w:r>
      <w:r>
        <w:rPr>
          <w:rFonts w:hint="eastAsia" w:ascii="仿宋_GB2312" w:eastAsia="仿宋_GB2312"/>
          <w:sz w:val="32"/>
          <w:szCs w:val="32"/>
        </w:rPr>
        <w:t xml:space="preserve">存在严重失信行为或其他违反国家法律法规情形的。 </w:t>
      </w:r>
    </w:p>
    <w:p w14:paraId="71D7849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第十五条 严格监督检查。</w:t>
      </w:r>
      <w:r>
        <w:rPr>
          <w:rFonts w:hint="eastAsia" w:ascii="仿宋_GB2312" w:eastAsia="仿宋_GB2312"/>
          <w:sz w:val="32"/>
          <w:szCs w:val="32"/>
        </w:rPr>
        <w:t>各部门要对废旧物资处置全过程实施监督检查，确保废旧物资处置工作合法合规、效益最优。</w:t>
      </w:r>
    </w:p>
    <w:p w14:paraId="21604008">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32"/>
        </w:rPr>
      </w:pPr>
    </w:p>
    <w:p w14:paraId="74062855">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14:paraId="2B464DC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第十六条 本办法自印发之日起施行</w:t>
      </w:r>
      <w:r>
        <w:rPr>
          <w:rFonts w:hint="eastAsia" w:ascii="仿宋_GB2312" w:eastAsia="仿宋_GB2312"/>
          <w:sz w:val="32"/>
          <w:szCs w:val="32"/>
        </w:rPr>
        <w:t>，</w:t>
      </w:r>
      <w:r>
        <w:rPr>
          <w:rFonts w:hint="eastAsia" w:ascii="仿宋_GB2312" w:eastAsia="仿宋_GB2312"/>
          <w:sz w:val="32"/>
          <w:szCs w:val="32"/>
          <w:lang w:eastAsia="zh-CN"/>
        </w:rPr>
        <w:t>原</w:t>
      </w:r>
      <w:r>
        <w:rPr>
          <w:rFonts w:hint="eastAsia" w:ascii="仿宋_GB2312" w:eastAsia="仿宋_GB2312"/>
          <w:sz w:val="32"/>
          <w:szCs w:val="32"/>
        </w:rPr>
        <w:t>西北能化经营〔2025〕2号西北能化公司2025年经营管理与监督考核实施意见中附件5《</w:t>
      </w:r>
      <w:r>
        <w:rPr>
          <w:rFonts w:hint="eastAsia" w:ascii="仿宋_GB2312" w:eastAsia="仿宋_GB2312"/>
          <w:sz w:val="32"/>
          <w:szCs w:val="32"/>
        </w:rPr>
        <w:t>废旧物资处置管理办法》同时废止。</w:t>
      </w:r>
    </w:p>
    <w:p w14:paraId="43EC959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p>
    <w:p w14:paraId="4322796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lang w:val="en-US" w:eastAsia="zh-CN"/>
        </w:rPr>
        <w:t>附件</w:t>
      </w:r>
      <w:r>
        <w:rPr>
          <w:rFonts w:hint="eastAsia" w:ascii="仿宋_GB2312" w:eastAsia="仿宋_GB2312"/>
          <w:sz w:val="32"/>
          <w:szCs w:val="32"/>
        </w:rPr>
        <w:t>：废旧物资购销合同（范本）</w:t>
      </w:r>
    </w:p>
    <w:p w14:paraId="1C97268D">
      <w:pPr>
        <w:widowControl/>
        <w:spacing w:line="520" w:lineRule="exact"/>
        <w:ind w:firstLine="420" w:firstLineChars="200"/>
        <w:jc w:val="left"/>
      </w:pPr>
    </w:p>
    <w:p w14:paraId="6DAEBE6B">
      <w:pPr>
        <w:pStyle w:val="16"/>
        <w:ind w:firstLine="210"/>
      </w:pPr>
    </w:p>
    <w:p w14:paraId="63CC0ED9">
      <w:pPr>
        <w:spacing w:line="520" w:lineRule="exact"/>
        <w:jc w:val="center"/>
        <w:rPr>
          <w:rFonts w:hint="eastAsia" w:ascii="宋体" w:hAnsi="宋体" w:cs="宋体"/>
          <w:b/>
          <w:sz w:val="44"/>
          <w:szCs w:val="44"/>
          <w:lang w:bidi="ar"/>
        </w:rPr>
      </w:pPr>
    </w:p>
    <w:p w14:paraId="7BB46E5C">
      <w:pPr>
        <w:spacing w:line="520" w:lineRule="exact"/>
        <w:jc w:val="both"/>
        <w:rPr>
          <w:rFonts w:hint="eastAsia" w:ascii="宋体" w:hAnsi="宋体" w:cs="宋体"/>
          <w:b/>
          <w:sz w:val="44"/>
          <w:szCs w:val="44"/>
          <w:lang w:bidi="ar"/>
        </w:rPr>
      </w:pPr>
    </w:p>
    <w:p w14:paraId="53FABC1A">
      <w:pPr>
        <w:spacing w:line="520" w:lineRule="exact"/>
        <w:jc w:val="center"/>
        <w:rPr>
          <w:b/>
          <w:sz w:val="44"/>
          <w:szCs w:val="44"/>
        </w:rPr>
      </w:pPr>
      <w:r>
        <w:rPr>
          <w:rFonts w:hint="eastAsia" w:ascii="宋体" w:hAnsi="宋体" w:cs="宋体"/>
          <w:b/>
          <w:sz w:val="44"/>
          <w:szCs w:val="44"/>
          <w:lang w:bidi="ar"/>
        </w:rPr>
        <w:t>废旧物资购销合同（范本）</w:t>
      </w:r>
      <w:r>
        <w:rPr>
          <w:rFonts w:hint="eastAsia" w:ascii="宋体" w:hAnsi="宋体" w:cs="宋体"/>
          <w:b/>
          <w:szCs w:val="21"/>
          <w:lang w:bidi="ar"/>
        </w:rPr>
        <w:t>（标准文本，据实修订）</w:t>
      </w:r>
    </w:p>
    <w:p w14:paraId="550F14E0">
      <w:pPr>
        <w:spacing w:line="520" w:lineRule="exact"/>
        <w:rPr>
          <w:szCs w:val="21"/>
        </w:rPr>
      </w:pPr>
      <w:r>
        <w:rPr>
          <w:szCs w:val="21"/>
          <w:lang w:bidi="ar"/>
        </w:rPr>
        <w:t xml:space="preserve"> </w:t>
      </w:r>
    </w:p>
    <w:p w14:paraId="3EA0B0A3">
      <w:pPr>
        <w:spacing w:line="520" w:lineRule="exact"/>
        <w:rPr>
          <w:rFonts w:ascii="仿宋_GB2312" w:eastAsia="仿宋_GB2312" w:cs="仿宋_GB2312"/>
          <w:sz w:val="30"/>
          <w:szCs w:val="30"/>
        </w:rPr>
      </w:pPr>
      <w:r>
        <w:rPr>
          <w:rFonts w:ascii="仿宋_GB2312" w:eastAsia="仿宋_GB2312" w:cs="仿宋_GB2312"/>
          <w:b/>
          <w:sz w:val="30"/>
          <w:szCs w:val="30"/>
          <w:lang w:bidi="ar"/>
        </w:rPr>
        <w:t>出卖人（甲方）：</w:t>
      </w:r>
      <w:r>
        <w:rPr>
          <w:rFonts w:ascii="仿宋_GB2312" w:eastAsia="仿宋_GB2312" w:cs="仿宋_GB2312"/>
          <w:b/>
          <w:sz w:val="30"/>
          <w:szCs w:val="30"/>
          <w:u w:val="single"/>
          <w:lang w:bidi="ar"/>
        </w:rPr>
        <w:t xml:space="preserve">    </w:t>
      </w:r>
      <w:r>
        <w:rPr>
          <w:rFonts w:hint="eastAsia" w:ascii="仿宋_GB2312" w:eastAsia="仿宋_GB2312" w:cs="仿宋_GB2312"/>
          <w:b/>
          <w:sz w:val="30"/>
          <w:szCs w:val="30"/>
          <w:u w:val="single"/>
          <w:lang w:bidi="ar"/>
        </w:rPr>
        <w:t xml:space="preserve">                             </w:t>
      </w:r>
      <w:r>
        <w:rPr>
          <w:rFonts w:ascii="仿宋_GB2312" w:eastAsia="仿宋_GB2312" w:cs="仿宋_GB2312"/>
          <w:b/>
          <w:sz w:val="30"/>
          <w:szCs w:val="30"/>
          <w:u w:val="single"/>
          <w:lang w:bidi="ar"/>
        </w:rPr>
        <w:t xml:space="preserve">        </w:t>
      </w:r>
    </w:p>
    <w:p w14:paraId="35A54032">
      <w:pPr>
        <w:spacing w:line="520" w:lineRule="exact"/>
        <w:rPr>
          <w:rFonts w:ascii="仿宋_GB2312" w:eastAsia="仿宋_GB2312" w:cs="仿宋_GB2312"/>
          <w:sz w:val="30"/>
          <w:szCs w:val="30"/>
        </w:rPr>
      </w:pPr>
      <w:r>
        <w:rPr>
          <w:rFonts w:ascii="仿宋_GB2312" w:eastAsia="仿宋_GB2312" w:cs="仿宋_GB2312"/>
          <w:b/>
          <w:sz w:val="30"/>
          <w:szCs w:val="30"/>
          <w:lang w:bidi="ar"/>
        </w:rPr>
        <w:t>买受人（乙方）：</w:t>
      </w:r>
      <w:r>
        <w:rPr>
          <w:rFonts w:hint="eastAsia" w:ascii="仿宋_GB2312" w:eastAsia="仿宋_GB2312" w:cs="仿宋_GB2312"/>
          <w:b/>
          <w:sz w:val="30"/>
          <w:szCs w:val="30"/>
          <w:u w:val="single"/>
          <w:lang w:bidi="ar"/>
        </w:rPr>
        <w:t xml:space="preserve">              </w:t>
      </w:r>
      <w:r>
        <w:rPr>
          <w:rFonts w:ascii="仿宋_GB2312" w:eastAsia="仿宋_GB2312" w:cs="仿宋_GB2312"/>
          <w:b/>
          <w:sz w:val="30"/>
          <w:szCs w:val="30"/>
          <w:u w:val="single"/>
          <w:lang w:bidi="ar"/>
        </w:rPr>
        <w:t xml:space="preserve">                           </w:t>
      </w:r>
    </w:p>
    <w:p w14:paraId="1F9C95FB">
      <w:pPr>
        <w:spacing w:line="520" w:lineRule="exact"/>
        <w:rPr>
          <w:rFonts w:ascii="仿宋_GB2312" w:eastAsia="仿宋_GB2312" w:cs="仿宋_GB2312"/>
          <w:sz w:val="30"/>
          <w:szCs w:val="30"/>
        </w:rPr>
      </w:pPr>
      <w:r>
        <w:rPr>
          <w:rFonts w:ascii="仿宋_GB2312" w:eastAsia="仿宋_GB2312" w:cs="仿宋_GB2312"/>
          <w:b/>
          <w:sz w:val="30"/>
          <w:szCs w:val="30"/>
          <w:lang w:bidi="ar"/>
        </w:rPr>
        <w:t>签订地点</w:t>
      </w:r>
      <w:r>
        <w:rPr>
          <w:rFonts w:ascii="仿宋_GB2312" w:eastAsia="仿宋_GB2312" w:cs="仿宋_GB2312"/>
          <w:sz w:val="30"/>
          <w:szCs w:val="30"/>
          <w:lang w:bidi="ar"/>
        </w:rPr>
        <w:t>：</w:t>
      </w:r>
      <w:r>
        <w:rPr>
          <w:rFonts w:hint="eastAsia" w:ascii="仿宋_GB2312" w:eastAsia="仿宋_GB2312" w:cs="仿宋_GB2312"/>
          <w:sz w:val="30"/>
          <w:szCs w:val="30"/>
          <w:u w:val="single"/>
          <w:lang w:bidi="ar"/>
        </w:rPr>
        <w:t xml:space="preserve">           </w:t>
      </w:r>
    </w:p>
    <w:p w14:paraId="55329387">
      <w:pPr>
        <w:spacing w:line="520" w:lineRule="exact"/>
        <w:rPr>
          <w:rFonts w:ascii="仿宋_GB2312" w:eastAsia="仿宋_GB2312" w:cs="仿宋_GB2312"/>
          <w:sz w:val="30"/>
          <w:szCs w:val="30"/>
        </w:rPr>
      </w:pPr>
      <w:r>
        <w:rPr>
          <w:rFonts w:ascii="仿宋_GB2312" w:eastAsia="仿宋_GB2312" w:cs="仿宋_GB2312"/>
          <w:b/>
          <w:sz w:val="30"/>
          <w:szCs w:val="30"/>
          <w:lang w:bidi="ar"/>
        </w:rPr>
        <w:t>签订时间</w:t>
      </w:r>
      <w:r>
        <w:rPr>
          <w:rFonts w:ascii="仿宋_GB2312" w:eastAsia="仿宋_GB2312" w:cs="仿宋_GB2312"/>
          <w:sz w:val="30"/>
          <w:szCs w:val="30"/>
          <w:lang w:bidi="ar"/>
        </w:rPr>
        <w:t>：</w:t>
      </w:r>
      <w:r>
        <w:rPr>
          <w:rFonts w:ascii="仿宋_GB2312" w:eastAsia="仿宋_GB2312" w:cs="仿宋_GB2312"/>
          <w:sz w:val="30"/>
          <w:szCs w:val="30"/>
          <w:u w:val="single"/>
          <w:lang w:bidi="ar"/>
        </w:rPr>
        <w:t xml:space="preserve"> </w:t>
      </w:r>
      <w:r>
        <w:rPr>
          <w:rFonts w:hint="eastAsia" w:ascii="仿宋_GB2312" w:eastAsia="仿宋_GB2312" w:cs="仿宋_GB2312"/>
          <w:sz w:val="30"/>
          <w:szCs w:val="30"/>
          <w:u w:val="single"/>
          <w:lang w:bidi="ar"/>
        </w:rPr>
        <w:t xml:space="preserve">   </w:t>
      </w:r>
      <w:r>
        <w:rPr>
          <w:rFonts w:ascii="仿宋_GB2312" w:eastAsia="仿宋_GB2312" w:cs="仿宋_GB2312"/>
          <w:sz w:val="30"/>
          <w:szCs w:val="30"/>
          <w:lang w:bidi="ar"/>
        </w:rPr>
        <w:t>年</w:t>
      </w:r>
      <w:r>
        <w:rPr>
          <w:rFonts w:hint="eastAsia" w:ascii="仿宋_GB2312" w:eastAsia="仿宋_GB2312" w:cs="仿宋_GB2312"/>
          <w:sz w:val="30"/>
          <w:szCs w:val="30"/>
          <w:u w:val="single"/>
          <w:lang w:bidi="ar"/>
        </w:rPr>
        <w:t xml:space="preserve">    </w:t>
      </w:r>
      <w:r>
        <w:rPr>
          <w:rFonts w:ascii="仿宋_GB2312" w:eastAsia="仿宋_GB2312" w:cs="仿宋_GB2312"/>
          <w:sz w:val="30"/>
          <w:szCs w:val="30"/>
          <w:lang w:bidi="ar"/>
        </w:rPr>
        <w:t>月</w:t>
      </w:r>
      <w:r>
        <w:rPr>
          <w:rFonts w:hint="eastAsia" w:ascii="仿宋_GB2312" w:eastAsia="仿宋_GB2312" w:cs="仿宋_GB2312"/>
          <w:sz w:val="30"/>
          <w:szCs w:val="30"/>
          <w:u w:val="single"/>
          <w:lang w:bidi="ar"/>
        </w:rPr>
        <w:t xml:space="preserve">    </w:t>
      </w:r>
      <w:r>
        <w:rPr>
          <w:rFonts w:ascii="仿宋_GB2312" w:eastAsia="仿宋_GB2312" w:cs="仿宋_GB2312"/>
          <w:sz w:val="30"/>
          <w:szCs w:val="30"/>
          <w:lang w:bidi="ar"/>
        </w:rPr>
        <w:t>日</w:t>
      </w:r>
    </w:p>
    <w:p w14:paraId="1052779D">
      <w:pPr>
        <w:spacing w:line="520" w:lineRule="exact"/>
        <w:ind w:firstLine="600" w:firstLineChars="200"/>
        <w:rPr>
          <w:rFonts w:ascii="仿宋_GB2312" w:eastAsia="仿宋_GB2312" w:cs="仿宋_GB2312"/>
          <w:sz w:val="30"/>
          <w:szCs w:val="30"/>
        </w:rPr>
      </w:pPr>
      <w:r>
        <w:rPr>
          <w:rFonts w:ascii="仿宋_GB2312" w:eastAsia="仿宋_GB2312" w:cs="仿宋_GB2312"/>
          <w:sz w:val="30"/>
          <w:szCs w:val="30"/>
          <w:lang w:bidi="ar"/>
        </w:rPr>
        <w:t>根据《中华人民共和国民法典》等相关法律法规、网络竞价公告或合法的成交确认书，就甲方废旧物资出售相关事宜，经双方协商一致，约定如下：</w:t>
      </w:r>
    </w:p>
    <w:p w14:paraId="46C38625">
      <w:pPr>
        <w:spacing w:line="520" w:lineRule="exact"/>
        <w:ind w:firstLine="602" w:firstLineChars="200"/>
        <w:rPr>
          <w:sz w:val="30"/>
          <w:szCs w:val="30"/>
        </w:rPr>
      </w:pPr>
      <w:r>
        <w:rPr>
          <w:rFonts w:ascii="楷体" w:hAnsi="楷体" w:eastAsia="楷体" w:cs="楷体"/>
          <w:b/>
          <w:sz w:val="30"/>
          <w:szCs w:val="30"/>
          <w:lang w:bidi="ar"/>
        </w:rPr>
        <w:t xml:space="preserve">第一条 </w:t>
      </w:r>
      <w:r>
        <w:rPr>
          <w:rFonts w:ascii="仿宋_GB2312" w:eastAsia="仿宋_GB2312" w:cs="仿宋_GB2312"/>
          <w:sz w:val="30"/>
          <w:szCs w:val="30"/>
          <w:lang w:bidi="ar"/>
        </w:rPr>
        <w:t>货物名称、</w:t>
      </w:r>
      <w:r>
        <w:rPr>
          <w:rFonts w:hint="eastAsia" w:ascii="仿宋_GB2312" w:eastAsia="仿宋_GB2312" w:cs="仿宋_GB2312"/>
          <w:sz w:val="30"/>
          <w:szCs w:val="30"/>
          <w:lang w:bidi="ar"/>
        </w:rPr>
        <w:t>单价、税额、</w:t>
      </w:r>
      <w:r>
        <w:rPr>
          <w:rFonts w:ascii="仿宋_GB2312" w:eastAsia="仿宋_GB2312" w:cs="仿宋_GB2312"/>
          <w:sz w:val="30"/>
          <w:szCs w:val="30"/>
          <w:lang w:bidi="ar"/>
        </w:rPr>
        <w:t>总价和提货时间。</w:t>
      </w:r>
    </w:p>
    <w:tbl>
      <w:tblPr>
        <w:tblStyle w:val="10"/>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485"/>
        <w:gridCol w:w="1680"/>
        <w:gridCol w:w="1605"/>
        <w:gridCol w:w="2713"/>
      </w:tblGrid>
      <w:tr w14:paraId="117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81" w:type="dxa"/>
            <w:tcBorders>
              <w:top w:val="single" w:color="auto" w:sz="4" w:space="0"/>
              <w:left w:val="single" w:color="auto" w:sz="4" w:space="0"/>
              <w:bottom w:val="single" w:color="auto" w:sz="4" w:space="0"/>
              <w:right w:val="single" w:color="auto" w:sz="4" w:space="0"/>
            </w:tcBorders>
            <w:vAlign w:val="center"/>
          </w:tcPr>
          <w:p w14:paraId="55FE178D">
            <w:pPr>
              <w:spacing w:line="520" w:lineRule="exact"/>
              <w:jc w:val="center"/>
              <w:rPr>
                <w:rFonts w:hint="eastAsia" w:ascii="宋体" w:hAnsi="宋体" w:cs="宋体"/>
                <w:szCs w:val="21"/>
              </w:rPr>
            </w:pPr>
            <w:r>
              <w:rPr>
                <w:rFonts w:hint="eastAsia" w:ascii="宋体" w:hAnsi="宋体" w:cs="宋体"/>
                <w:szCs w:val="21"/>
                <w:lang w:bidi="ar"/>
              </w:rPr>
              <w:t>货物名称</w:t>
            </w:r>
          </w:p>
        </w:tc>
        <w:tc>
          <w:tcPr>
            <w:tcW w:w="1485" w:type="dxa"/>
            <w:tcBorders>
              <w:top w:val="single" w:color="auto" w:sz="4" w:space="0"/>
              <w:left w:val="nil"/>
              <w:bottom w:val="single" w:color="auto" w:sz="4" w:space="0"/>
              <w:right w:val="single" w:color="auto" w:sz="4" w:space="0"/>
            </w:tcBorders>
            <w:vAlign w:val="center"/>
          </w:tcPr>
          <w:p w14:paraId="0FDA5B76">
            <w:pPr>
              <w:spacing w:line="520" w:lineRule="exact"/>
              <w:jc w:val="center"/>
              <w:rPr>
                <w:rFonts w:hint="eastAsia" w:ascii="宋体" w:hAnsi="宋体" w:cs="宋体"/>
                <w:szCs w:val="21"/>
              </w:rPr>
            </w:pPr>
            <w:r>
              <w:rPr>
                <w:rFonts w:hint="eastAsia" w:ascii="宋体" w:hAnsi="宋体" w:cs="宋体"/>
                <w:szCs w:val="21"/>
                <w:lang w:bidi="ar"/>
              </w:rPr>
              <w:t>单价（不含税）</w:t>
            </w:r>
          </w:p>
        </w:tc>
        <w:tc>
          <w:tcPr>
            <w:tcW w:w="1680" w:type="dxa"/>
            <w:tcBorders>
              <w:top w:val="single" w:color="auto" w:sz="4" w:space="0"/>
              <w:left w:val="nil"/>
              <w:bottom w:val="single" w:color="auto" w:sz="4" w:space="0"/>
              <w:right w:val="single" w:color="auto" w:sz="4" w:space="0"/>
            </w:tcBorders>
            <w:vAlign w:val="center"/>
          </w:tcPr>
          <w:p w14:paraId="46F36C2C">
            <w:pPr>
              <w:spacing w:line="520" w:lineRule="exact"/>
              <w:jc w:val="center"/>
              <w:rPr>
                <w:rFonts w:hint="eastAsia" w:ascii="宋体" w:hAnsi="宋体" w:cs="宋体"/>
                <w:szCs w:val="21"/>
                <w:lang w:bidi="ar"/>
              </w:rPr>
            </w:pPr>
            <w:r>
              <w:rPr>
                <w:rFonts w:hint="eastAsia" w:ascii="宋体" w:hAnsi="宋体" w:cs="宋体"/>
                <w:szCs w:val="21"/>
                <w:lang w:bidi="ar"/>
              </w:rPr>
              <w:t>税额（*%）</w:t>
            </w:r>
          </w:p>
        </w:tc>
        <w:tc>
          <w:tcPr>
            <w:tcW w:w="1605" w:type="dxa"/>
            <w:tcBorders>
              <w:top w:val="single" w:color="auto" w:sz="4" w:space="0"/>
              <w:left w:val="nil"/>
              <w:bottom w:val="single" w:color="auto" w:sz="4" w:space="0"/>
              <w:right w:val="single" w:color="auto" w:sz="4" w:space="0"/>
            </w:tcBorders>
            <w:vAlign w:val="center"/>
          </w:tcPr>
          <w:p w14:paraId="0389B791">
            <w:pPr>
              <w:spacing w:line="520" w:lineRule="exact"/>
              <w:jc w:val="center"/>
              <w:rPr>
                <w:rFonts w:hint="eastAsia" w:ascii="宋体" w:hAnsi="宋体" w:cs="宋体"/>
                <w:szCs w:val="21"/>
                <w:lang w:bidi="ar"/>
              </w:rPr>
            </w:pPr>
            <w:r>
              <w:rPr>
                <w:rFonts w:hint="eastAsia" w:ascii="宋体" w:hAnsi="宋体" w:cs="宋体"/>
                <w:szCs w:val="21"/>
                <w:lang w:bidi="ar"/>
              </w:rPr>
              <w:t>总价（含税）</w:t>
            </w:r>
          </w:p>
        </w:tc>
        <w:tc>
          <w:tcPr>
            <w:tcW w:w="2713" w:type="dxa"/>
            <w:tcBorders>
              <w:top w:val="single" w:color="auto" w:sz="4" w:space="0"/>
              <w:left w:val="nil"/>
              <w:bottom w:val="single" w:color="auto" w:sz="4" w:space="0"/>
              <w:right w:val="single" w:color="auto" w:sz="4" w:space="0"/>
            </w:tcBorders>
            <w:vAlign w:val="center"/>
          </w:tcPr>
          <w:p w14:paraId="5553F883">
            <w:pPr>
              <w:spacing w:line="520" w:lineRule="exact"/>
              <w:jc w:val="center"/>
              <w:rPr>
                <w:rFonts w:hint="eastAsia" w:ascii="宋体" w:hAnsi="宋体" w:cs="宋体"/>
                <w:szCs w:val="21"/>
              </w:rPr>
            </w:pPr>
            <w:r>
              <w:rPr>
                <w:rFonts w:hint="eastAsia" w:ascii="宋体" w:hAnsi="宋体" w:cs="宋体"/>
                <w:szCs w:val="21"/>
                <w:lang w:bidi="ar"/>
              </w:rPr>
              <w:t>提货时间</w:t>
            </w:r>
          </w:p>
        </w:tc>
      </w:tr>
      <w:tr w14:paraId="2E7C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1181" w:type="dxa"/>
            <w:tcBorders>
              <w:top w:val="single" w:color="auto" w:sz="4" w:space="0"/>
              <w:left w:val="single" w:color="auto" w:sz="4" w:space="0"/>
              <w:bottom w:val="single" w:color="auto" w:sz="4" w:space="0"/>
              <w:right w:val="single" w:color="auto" w:sz="4" w:space="0"/>
            </w:tcBorders>
            <w:vAlign w:val="center"/>
          </w:tcPr>
          <w:p w14:paraId="4D543315">
            <w:pPr>
              <w:spacing w:line="520" w:lineRule="exact"/>
              <w:jc w:val="center"/>
              <w:rPr>
                <w:rFonts w:hint="eastAsia" w:ascii="宋体" w:hAnsi="宋体" w:cs="宋体"/>
                <w:szCs w:val="21"/>
              </w:rPr>
            </w:pPr>
          </w:p>
        </w:tc>
        <w:tc>
          <w:tcPr>
            <w:tcW w:w="1485" w:type="dxa"/>
            <w:tcBorders>
              <w:top w:val="single" w:color="auto" w:sz="4" w:space="0"/>
              <w:left w:val="nil"/>
              <w:bottom w:val="single" w:color="auto" w:sz="4" w:space="0"/>
              <w:right w:val="single" w:color="auto" w:sz="4" w:space="0"/>
            </w:tcBorders>
            <w:vAlign w:val="center"/>
          </w:tcPr>
          <w:p w14:paraId="32387AEE">
            <w:pPr>
              <w:spacing w:line="520" w:lineRule="exact"/>
              <w:jc w:val="center"/>
              <w:rPr>
                <w:rFonts w:hint="eastAsia" w:ascii="宋体" w:hAnsi="宋体" w:cs="宋体"/>
                <w:szCs w:val="21"/>
              </w:rPr>
            </w:pPr>
          </w:p>
        </w:tc>
        <w:tc>
          <w:tcPr>
            <w:tcW w:w="1680" w:type="dxa"/>
            <w:tcBorders>
              <w:top w:val="single" w:color="auto" w:sz="4" w:space="0"/>
              <w:left w:val="nil"/>
              <w:bottom w:val="single" w:color="auto" w:sz="4" w:space="0"/>
              <w:right w:val="single" w:color="auto" w:sz="4" w:space="0"/>
            </w:tcBorders>
          </w:tcPr>
          <w:p w14:paraId="3BD0CF2F">
            <w:pPr>
              <w:spacing w:line="520" w:lineRule="exact"/>
              <w:jc w:val="center"/>
              <w:rPr>
                <w:rFonts w:hint="eastAsia" w:ascii="宋体" w:hAnsi="宋体" w:cs="宋体"/>
                <w:szCs w:val="21"/>
                <w:lang w:bidi="ar"/>
              </w:rPr>
            </w:pPr>
          </w:p>
          <w:p w14:paraId="54A905EE">
            <w:pPr>
              <w:spacing w:line="520" w:lineRule="exact"/>
              <w:jc w:val="center"/>
              <w:rPr>
                <w:rFonts w:hint="eastAsia" w:ascii="宋体" w:hAnsi="宋体" w:cs="宋体"/>
                <w:b/>
                <w:bCs/>
                <w:szCs w:val="21"/>
                <w:lang w:bidi="ar"/>
              </w:rPr>
            </w:pPr>
          </w:p>
        </w:tc>
        <w:tc>
          <w:tcPr>
            <w:tcW w:w="1605" w:type="dxa"/>
            <w:tcBorders>
              <w:top w:val="single" w:color="auto" w:sz="4" w:space="0"/>
              <w:left w:val="nil"/>
              <w:bottom w:val="single" w:color="auto" w:sz="4" w:space="0"/>
              <w:right w:val="single" w:color="auto" w:sz="4" w:space="0"/>
            </w:tcBorders>
          </w:tcPr>
          <w:p w14:paraId="73555CB7">
            <w:pPr>
              <w:spacing w:line="520" w:lineRule="exact"/>
              <w:jc w:val="center"/>
              <w:rPr>
                <w:rFonts w:hint="eastAsia" w:ascii="宋体" w:hAnsi="宋体" w:cs="宋体"/>
                <w:szCs w:val="21"/>
                <w:lang w:bidi="ar"/>
              </w:rPr>
            </w:pPr>
          </w:p>
        </w:tc>
        <w:tc>
          <w:tcPr>
            <w:tcW w:w="2713" w:type="dxa"/>
            <w:tcBorders>
              <w:top w:val="single" w:color="auto" w:sz="4" w:space="0"/>
              <w:left w:val="nil"/>
              <w:bottom w:val="single" w:color="auto" w:sz="4" w:space="0"/>
              <w:right w:val="single" w:color="auto" w:sz="4" w:space="0"/>
            </w:tcBorders>
          </w:tcPr>
          <w:p w14:paraId="2CD2CFD8">
            <w:pPr>
              <w:spacing w:line="520" w:lineRule="exact"/>
              <w:rPr>
                <w:rFonts w:hint="eastAsia" w:ascii="宋体" w:hAnsi="宋体" w:cs="宋体"/>
                <w:szCs w:val="21"/>
              </w:rPr>
            </w:pPr>
            <w:r>
              <w:rPr>
                <w:rFonts w:hint="eastAsia" w:ascii="宋体" w:hAnsi="宋体" w:cs="宋体"/>
                <w:sz w:val="15"/>
                <w:szCs w:val="15"/>
                <w:lang w:bidi="ar"/>
              </w:rPr>
              <w:t>合同签订   个工作日内完成交款、提货</w:t>
            </w:r>
            <w:r>
              <w:rPr>
                <w:rFonts w:hint="eastAsia" w:ascii="宋体" w:hAnsi="宋体" w:cs="宋体"/>
                <w:sz w:val="15"/>
                <w:szCs w:val="15"/>
                <w:lang w:eastAsia="zh-CN" w:bidi="ar"/>
              </w:rPr>
              <w:t>，</w:t>
            </w:r>
            <w:r>
              <w:rPr>
                <w:rFonts w:hint="eastAsia" w:ascii="宋体" w:hAnsi="宋体" w:cs="宋体"/>
                <w:sz w:val="15"/>
                <w:szCs w:val="15"/>
                <w:lang w:bidi="ar"/>
              </w:rPr>
              <w:t xml:space="preserve"> 年 月 日前完成清运。</w:t>
            </w:r>
          </w:p>
        </w:tc>
      </w:tr>
    </w:tbl>
    <w:p w14:paraId="7278F20C">
      <w:pPr>
        <w:spacing w:line="500" w:lineRule="exact"/>
        <w:ind w:firstLine="602" w:firstLineChars="200"/>
        <w:rPr>
          <w:rFonts w:ascii="仿宋_GB2312" w:eastAsia="仿宋_GB2312" w:cs="仿宋_GB2312"/>
          <w:sz w:val="30"/>
          <w:szCs w:val="30"/>
        </w:rPr>
      </w:pPr>
      <w:r>
        <w:rPr>
          <w:rFonts w:ascii="楷体" w:hAnsi="楷体" w:eastAsia="楷体" w:cs="楷体"/>
          <w:b/>
          <w:sz w:val="30"/>
          <w:szCs w:val="30"/>
          <w:lang w:bidi="ar"/>
        </w:rPr>
        <w:t xml:space="preserve">第二条 </w:t>
      </w:r>
      <w:r>
        <w:rPr>
          <w:rFonts w:ascii="仿宋_GB2312" w:eastAsia="仿宋_GB2312" w:cs="仿宋_GB2312"/>
          <w:sz w:val="30"/>
          <w:szCs w:val="30"/>
          <w:lang w:bidi="ar"/>
        </w:rPr>
        <w:t>甲方此次出售给乙方的上述物资均为</w:t>
      </w:r>
      <w:r>
        <w:rPr>
          <w:rFonts w:hint="eastAsia" w:ascii="仿宋_GB2312" w:eastAsia="仿宋_GB2312" w:cs="仿宋_GB2312"/>
          <w:sz w:val="30"/>
          <w:szCs w:val="30"/>
          <w:lang w:bidi="ar"/>
        </w:rPr>
        <w:t>废旧</w:t>
      </w:r>
      <w:r>
        <w:rPr>
          <w:rFonts w:ascii="仿宋_GB2312" w:eastAsia="仿宋_GB2312" w:cs="仿宋_GB2312"/>
          <w:sz w:val="30"/>
          <w:szCs w:val="30"/>
          <w:lang w:bidi="ar"/>
        </w:rPr>
        <w:t>物资，甲方对其不作任何质量保证。</w:t>
      </w:r>
    </w:p>
    <w:p w14:paraId="24EAA0FC">
      <w:pPr>
        <w:spacing w:line="500" w:lineRule="exact"/>
        <w:ind w:firstLine="602" w:firstLineChars="200"/>
        <w:rPr>
          <w:rFonts w:ascii="仿宋_GB2312" w:eastAsia="仿宋_GB2312" w:cs="仿宋_GB2312"/>
          <w:sz w:val="30"/>
          <w:szCs w:val="30"/>
        </w:rPr>
      </w:pPr>
      <w:r>
        <w:rPr>
          <w:rFonts w:ascii="楷体" w:hAnsi="楷体" w:eastAsia="楷体" w:cs="楷体"/>
          <w:b/>
          <w:sz w:val="30"/>
          <w:szCs w:val="30"/>
          <w:lang w:bidi="ar"/>
        </w:rPr>
        <w:t xml:space="preserve">第三条 </w:t>
      </w:r>
      <w:r>
        <w:rPr>
          <w:rFonts w:ascii="仿宋_GB2312" w:eastAsia="仿宋_GB2312" w:cs="仿宋_GB2312"/>
          <w:sz w:val="30"/>
          <w:szCs w:val="30"/>
          <w:lang w:bidi="ar"/>
        </w:rPr>
        <w:t>乙方负责上述物资的现场装车、搬运、倒转、拆解、拆除和场地清理等施工，因此产生的任何费用均由乙方自行承担。甲方负责组织相关部门现场监督施工、协调过磅计量及出</w:t>
      </w:r>
      <w:r>
        <w:rPr>
          <w:rFonts w:hint="eastAsia" w:ascii="仿宋_GB2312" w:eastAsia="仿宋_GB2312" w:cs="仿宋_GB2312"/>
          <w:sz w:val="30"/>
          <w:szCs w:val="30"/>
          <w:lang w:bidi="ar"/>
        </w:rPr>
        <w:t>厂</w:t>
      </w:r>
      <w:r>
        <w:rPr>
          <w:rFonts w:ascii="仿宋_GB2312" w:eastAsia="仿宋_GB2312" w:cs="仿宋_GB2312"/>
          <w:sz w:val="30"/>
          <w:szCs w:val="30"/>
          <w:lang w:bidi="ar"/>
        </w:rPr>
        <w:t>事宜。</w:t>
      </w:r>
    </w:p>
    <w:p w14:paraId="582EA94E">
      <w:pPr>
        <w:spacing w:line="500" w:lineRule="exact"/>
        <w:ind w:firstLine="602" w:firstLineChars="200"/>
        <w:rPr>
          <w:rFonts w:ascii="仿宋_GB2312" w:eastAsia="仿宋_GB2312" w:cs="仿宋_GB2312"/>
          <w:sz w:val="30"/>
          <w:szCs w:val="30"/>
        </w:rPr>
      </w:pPr>
      <w:r>
        <w:rPr>
          <w:rFonts w:ascii="楷体" w:hAnsi="楷体" w:eastAsia="楷体" w:cs="楷体"/>
          <w:b/>
          <w:sz w:val="30"/>
          <w:szCs w:val="30"/>
          <w:lang w:bidi="ar"/>
        </w:rPr>
        <w:t xml:space="preserve">第四条 </w:t>
      </w:r>
      <w:r>
        <w:rPr>
          <w:rFonts w:ascii="仿宋_GB2312" w:eastAsia="仿宋_GB2312" w:cs="仿宋_GB2312"/>
          <w:sz w:val="30"/>
          <w:szCs w:val="30"/>
          <w:lang w:bidi="ar"/>
        </w:rPr>
        <w:t>乙方进场施工前</w:t>
      </w:r>
      <w:r>
        <w:rPr>
          <w:rFonts w:hint="eastAsia" w:ascii="仿宋_GB2312" w:eastAsia="仿宋_GB2312" w:cs="仿宋_GB2312"/>
          <w:sz w:val="30"/>
          <w:szCs w:val="30"/>
          <w:lang w:eastAsia="zh-CN" w:bidi="ar"/>
        </w:rPr>
        <w:t>，</w:t>
      </w:r>
      <w:r>
        <w:rPr>
          <w:rFonts w:ascii="仿宋_GB2312" w:eastAsia="仿宋_GB2312" w:cs="仿宋_GB2312"/>
          <w:sz w:val="30"/>
          <w:szCs w:val="30"/>
          <w:lang w:bidi="ar"/>
        </w:rPr>
        <w:t>应与甲方签署安全管理协议，服从甲方人员现场管理，并在规定期限内完成清运，不得挑拣、夹带，做到料清场清。</w:t>
      </w:r>
    </w:p>
    <w:p w14:paraId="1121F34D">
      <w:pPr>
        <w:spacing w:line="500" w:lineRule="exact"/>
        <w:ind w:firstLine="602" w:firstLineChars="200"/>
        <w:rPr>
          <w:rFonts w:ascii="仿宋_GB2312" w:eastAsia="仿宋_GB2312" w:cs="仿宋_GB2312"/>
          <w:sz w:val="30"/>
          <w:szCs w:val="30"/>
          <w:lang w:bidi="ar"/>
        </w:rPr>
      </w:pPr>
      <w:r>
        <w:rPr>
          <w:rFonts w:ascii="仿宋_GB2312" w:eastAsia="仿宋_GB2312" w:cs="仿宋_GB2312"/>
          <w:b/>
          <w:sz w:val="30"/>
          <w:szCs w:val="30"/>
          <w:lang w:bidi="ar"/>
        </w:rPr>
        <w:t>第五条</w:t>
      </w:r>
      <w:r>
        <w:rPr>
          <w:rFonts w:ascii="仿宋_GB2312" w:eastAsia="仿宋_GB2312" w:cs="仿宋_GB2312"/>
          <w:sz w:val="30"/>
          <w:szCs w:val="30"/>
          <w:lang w:bidi="ar"/>
        </w:rPr>
        <w:t xml:space="preserve"> 乙方在装车运输的过程中，应严格遵守省、市安全、环保、交通部门的各项安全管理、环境保护、交通管制等规定。如违反规定，发生安全、环保、交通事故，责任均由乙方承担。</w:t>
      </w:r>
    </w:p>
    <w:p w14:paraId="5E7F7BE8">
      <w:pPr>
        <w:spacing w:line="500" w:lineRule="exact"/>
        <w:ind w:firstLine="602" w:firstLineChars="200"/>
        <w:rPr>
          <w:rFonts w:hint="eastAsia" w:ascii="仿宋_GB2312" w:hAnsi="仿宋_GB2312" w:eastAsia="仿宋_GB2312" w:cs="仿宋_GB2312"/>
          <w:sz w:val="30"/>
          <w:szCs w:val="30"/>
        </w:rPr>
      </w:pPr>
      <w:r>
        <w:rPr>
          <w:rFonts w:hint="eastAsia" w:ascii="楷体" w:hAnsi="楷体" w:eastAsia="楷体" w:cs="楷体"/>
          <w:b/>
          <w:bCs/>
          <w:sz w:val="30"/>
          <w:szCs w:val="30"/>
        </w:rPr>
        <w:t xml:space="preserve">第六条 </w:t>
      </w:r>
      <w:r>
        <w:rPr>
          <w:rFonts w:hint="eastAsia" w:ascii="仿宋_GB2312" w:hAnsi="仿宋_GB2312" w:eastAsia="仿宋_GB2312" w:cs="仿宋_GB2312"/>
          <w:sz w:val="30"/>
          <w:szCs w:val="30"/>
        </w:rPr>
        <w:t>乙方应在期限内完成付款提货，履约保证金在履行合同清场完毕的三个工作日内由甲方无息退还。</w:t>
      </w:r>
    </w:p>
    <w:p w14:paraId="5BC15031">
      <w:pPr>
        <w:spacing w:line="500" w:lineRule="exact"/>
        <w:ind w:firstLine="602" w:firstLineChars="200"/>
        <w:rPr>
          <w:rFonts w:hint="eastAsia" w:ascii="仿宋_GB2312" w:hAnsi="仿宋_GB2312" w:eastAsia="仿宋_GB2312" w:cs="仿宋_GB2312"/>
          <w:sz w:val="30"/>
          <w:szCs w:val="30"/>
        </w:rPr>
      </w:pPr>
      <w:r>
        <w:rPr>
          <w:rFonts w:hint="eastAsia" w:ascii="楷体" w:hAnsi="楷体" w:eastAsia="楷体" w:cs="楷体"/>
          <w:b/>
          <w:bCs/>
          <w:sz w:val="30"/>
          <w:szCs w:val="30"/>
        </w:rPr>
        <w:t>第七条</w:t>
      </w:r>
      <w:r>
        <w:rPr>
          <w:rFonts w:ascii="仿宋_GB2312" w:eastAsia="仿宋_GB2312" w:cs="仿宋_GB2312"/>
          <w:sz w:val="30"/>
          <w:szCs w:val="30"/>
          <w:lang w:bidi="ar"/>
        </w:rPr>
        <w:t>乙方提货前应足额缴纳预付款人民币： 万元。结算重量以甲方指定司磅站计量为依据；整体打包出售的不需过磅。付清货款后，方可提货出门。提货结束后，甲方应于一周内开具增值税发票。乙方未按约定时间内交纳预付款或履约保证金的，甲方有权解除合同</w:t>
      </w:r>
      <w:r>
        <w:rPr>
          <w:rFonts w:hint="eastAsia" w:ascii="仿宋_GB2312" w:hAnsi="仿宋_GB2312" w:eastAsia="仿宋_GB2312" w:cs="仿宋_GB2312"/>
          <w:sz w:val="30"/>
          <w:szCs w:val="30"/>
        </w:rPr>
        <w:t>。</w:t>
      </w:r>
    </w:p>
    <w:p w14:paraId="222E4AA2">
      <w:pPr>
        <w:spacing w:line="500" w:lineRule="exact"/>
        <w:ind w:firstLine="602" w:firstLineChars="200"/>
        <w:rPr>
          <w:rFonts w:hint="eastAsia" w:ascii="仿宋_GB2312" w:hAnsi="仿宋_GB2312" w:eastAsia="仿宋_GB2312" w:cs="仿宋_GB2312"/>
          <w:sz w:val="30"/>
          <w:szCs w:val="30"/>
          <w:lang w:val="en-GB"/>
        </w:rPr>
      </w:pPr>
      <w:r>
        <w:rPr>
          <w:rFonts w:hint="eastAsia" w:ascii="楷体" w:hAnsi="楷体" w:eastAsia="楷体" w:cs="楷体"/>
          <w:b/>
          <w:bCs/>
          <w:sz w:val="30"/>
          <w:szCs w:val="30"/>
        </w:rPr>
        <w:t xml:space="preserve">第八条 </w:t>
      </w:r>
      <w:r>
        <w:rPr>
          <w:rFonts w:hint="eastAsia" w:ascii="仿宋_GB2312" w:hAnsi="仿宋_GB2312" w:eastAsia="仿宋_GB2312" w:cs="仿宋_GB2312"/>
          <w:sz w:val="30"/>
          <w:szCs w:val="30"/>
          <w:lang w:val="en-GB"/>
        </w:rPr>
        <w:t xml:space="preserve">本合同一式陆份，甲方执肆份，乙方执贰份，自双方签字盖章之日起生效，有效期限至提货清场完成之日止。 </w:t>
      </w:r>
    </w:p>
    <w:p w14:paraId="64F1F2BB">
      <w:pPr>
        <w:spacing w:line="500" w:lineRule="exact"/>
        <w:ind w:firstLine="602" w:firstLineChars="200"/>
        <w:rPr>
          <w:rFonts w:hint="eastAsia" w:ascii="仿宋_GB2312" w:hAnsi="仿宋_GB2312" w:eastAsia="仿宋_GB2312" w:cs="仿宋_GB2312"/>
          <w:sz w:val="30"/>
          <w:szCs w:val="30"/>
          <w:lang w:val="en-GB"/>
        </w:rPr>
      </w:pPr>
      <w:r>
        <w:rPr>
          <w:rFonts w:hint="eastAsia" w:ascii="楷体" w:hAnsi="楷体" w:eastAsia="楷体" w:cs="楷体"/>
          <w:b/>
          <w:bCs/>
          <w:sz w:val="30"/>
          <w:szCs w:val="30"/>
        </w:rPr>
        <w:t xml:space="preserve">第九条 </w:t>
      </w:r>
      <w:r>
        <w:rPr>
          <w:rFonts w:hint="eastAsia" w:ascii="仿宋_GB2312" w:hAnsi="仿宋_GB2312" w:eastAsia="仿宋_GB2312" w:cs="仿宋_GB2312"/>
          <w:sz w:val="30"/>
          <w:szCs w:val="30"/>
          <w:lang w:val="en-GB"/>
        </w:rPr>
        <w:t>合同争议解决方式：因履行本合同发生的争议，由双方当事人协商解决，协商不成的，</w:t>
      </w:r>
      <w:r>
        <w:rPr>
          <w:rFonts w:hint="eastAsia" w:ascii="仿宋_GB2312" w:hAnsi="仿宋_GB2312" w:eastAsia="仿宋_GB2312" w:cs="仿宋_GB2312"/>
          <w:sz w:val="30"/>
          <w:szCs w:val="30"/>
          <w:lang w:val="en-GB" w:eastAsia="zh-CN"/>
        </w:rPr>
        <w:t>可以</w:t>
      </w:r>
      <w:r>
        <w:rPr>
          <w:rFonts w:hint="eastAsia" w:ascii="仿宋_GB2312" w:hAnsi="仿宋_GB2312" w:eastAsia="仿宋_GB2312" w:cs="仿宋_GB2312"/>
          <w:sz w:val="30"/>
          <w:szCs w:val="30"/>
          <w:lang w:val="en-GB"/>
        </w:rPr>
        <w:t>向甲方所在地法院提起诉讼。</w:t>
      </w:r>
    </w:p>
    <w:p w14:paraId="30F9CD85">
      <w:pPr>
        <w:spacing w:line="500" w:lineRule="exact"/>
        <w:ind w:firstLine="602" w:firstLineChars="200"/>
        <w:rPr>
          <w:rFonts w:hint="eastAsia" w:ascii="仿宋_GB2312" w:hAnsi="仿宋_GB2312" w:eastAsia="仿宋_GB2312" w:cs="仿宋_GB2312"/>
          <w:sz w:val="30"/>
          <w:szCs w:val="30"/>
          <w:lang w:val="en-GB"/>
        </w:rPr>
      </w:pPr>
      <w:r>
        <w:rPr>
          <w:rFonts w:hint="eastAsia" w:ascii="楷体" w:hAnsi="楷体" w:eastAsia="楷体" w:cs="楷体"/>
          <w:b/>
          <w:bCs/>
          <w:sz w:val="30"/>
          <w:szCs w:val="30"/>
          <w:lang w:val="en-GB"/>
        </w:rPr>
        <w:t>第十条</w: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GB"/>
        </w:rPr>
        <w:t>本合同未尽事宜，依照有关</w:t>
      </w:r>
      <w:r>
        <w:rPr>
          <w:rFonts w:hint="eastAsia" w:ascii="仿宋_GB2312" w:hAnsi="仿宋_GB2312" w:eastAsia="仿宋_GB2312" w:cs="仿宋_GB2312"/>
          <w:sz w:val="30"/>
          <w:szCs w:val="30"/>
          <w:lang w:val="en-GB" w:eastAsia="zh-CN"/>
        </w:rPr>
        <w:t>法律法规</w:t>
      </w:r>
      <w:r>
        <w:rPr>
          <w:rFonts w:hint="eastAsia" w:ascii="仿宋_GB2312" w:hAnsi="仿宋_GB2312" w:eastAsia="仿宋_GB2312" w:cs="仿宋_GB2312"/>
          <w:sz w:val="30"/>
          <w:szCs w:val="30"/>
          <w:lang w:val="en-GB"/>
        </w:rPr>
        <w:t>执行。</w:t>
      </w:r>
    </w:p>
    <w:tbl>
      <w:tblPr>
        <w:tblStyle w:val="10"/>
        <w:tblW w:w="873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3"/>
        <w:gridCol w:w="4386"/>
      </w:tblGrid>
      <w:tr w14:paraId="03FE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0" w:hRule="atLeast"/>
        </w:trPr>
        <w:tc>
          <w:tcPr>
            <w:tcW w:w="4353" w:type="dxa"/>
            <w:tcBorders>
              <w:top w:val="single" w:color="auto" w:sz="4" w:space="0"/>
              <w:left w:val="single" w:color="auto" w:sz="4" w:space="0"/>
              <w:bottom w:val="single" w:color="auto" w:sz="4" w:space="0"/>
              <w:right w:val="single" w:color="auto" w:sz="4" w:space="0"/>
            </w:tcBorders>
          </w:tcPr>
          <w:p w14:paraId="7A4E3C22">
            <w:pPr>
              <w:spacing w:line="520" w:lineRule="exact"/>
              <w:ind w:firstLine="1680" w:firstLineChars="600"/>
              <w:rPr>
                <w:rFonts w:ascii="仿宋_GB2312" w:eastAsia="仿宋_GB2312" w:cs="仿宋_GB2312"/>
                <w:bCs/>
                <w:sz w:val="28"/>
                <w:szCs w:val="28"/>
              </w:rPr>
            </w:pPr>
            <w:r>
              <w:rPr>
                <w:rFonts w:ascii="仿宋_GB2312" w:eastAsia="仿宋_GB2312" w:cs="仿宋_GB2312"/>
                <w:bCs/>
                <w:sz w:val="28"/>
                <w:szCs w:val="28"/>
                <w:lang w:bidi="ar"/>
              </w:rPr>
              <w:t>甲       方</w:t>
            </w:r>
          </w:p>
          <w:p w14:paraId="2665D5DF">
            <w:pPr>
              <w:spacing w:line="520" w:lineRule="exact"/>
              <w:ind w:firstLine="1680" w:firstLineChars="600"/>
              <w:rPr>
                <w:rFonts w:ascii="仿宋_GB2312" w:eastAsia="仿宋_GB2312" w:cs="仿宋_GB2312"/>
                <w:bCs/>
                <w:sz w:val="28"/>
                <w:szCs w:val="28"/>
              </w:rPr>
            </w:pPr>
          </w:p>
          <w:p w14:paraId="2BCA86AF">
            <w:pPr>
              <w:spacing w:line="520" w:lineRule="exact"/>
              <w:rPr>
                <w:rFonts w:ascii="仿宋_GB2312" w:eastAsia="仿宋_GB2312" w:cs="仿宋_GB2312"/>
                <w:bCs/>
                <w:sz w:val="28"/>
                <w:szCs w:val="28"/>
              </w:rPr>
            </w:pPr>
            <w:r>
              <w:rPr>
                <w:rFonts w:ascii="仿宋_GB2312" w:eastAsia="仿宋_GB2312" w:cs="仿宋_GB2312"/>
                <w:bCs/>
                <w:sz w:val="28"/>
                <w:szCs w:val="28"/>
                <w:lang w:bidi="ar"/>
              </w:rPr>
              <w:t>单位名称</w:t>
            </w:r>
            <w:r>
              <w:rPr>
                <w:rFonts w:hint="eastAsia" w:ascii="仿宋_GB2312" w:eastAsia="仿宋_GB2312" w:cs="仿宋_GB2312"/>
                <w:bCs/>
                <w:sz w:val="28"/>
                <w:szCs w:val="28"/>
                <w:lang w:eastAsia="zh-CN" w:bidi="ar"/>
              </w:rPr>
              <w:t>（公</w:t>
            </w:r>
            <w:r>
              <w:rPr>
                <w:rFonts w:ascii="仿宋_GB2312" w:eastAsia="仿宋_GB2312" w:cs="仿宋_GB2312"/>
                <w:bCs/>
                <w:sz w:val="28"/>
                <w:szCs w:val="28"/>
                <w:lang w:bidi="ar"/>
              </w:rPr>
              <w:t>章</w:t>
            </w:r>
            <w:r>
              <w:rPr>
                <w:rFonts w:hint="eastAsia" w:ascii="仿宋_GB2312" w:eastAsia="仿宋_GB2312" w:cs="仿宋_GB2312"/>
                <w:bCs/>
                <w:sz w:val="28"/>
                <w:szCs w:val="28"/>
                <w:lang w:eastAsia="zh-CN" w:bidi="ar"/>
              </w:rPr>
              <w:t>）</w:t>
            </w:r>
            <w:r>
              <w:rPr>
                <w:rFonts w:ascii="仿宋_GB2312" w:eastAsia="仿宋_GB2312" w:cs="仿宋_GB2312"/>
                <w:bCs/>
                <w:sz w:val="28"/>
                <w:szCs w:val="28"/>
                <w:lang w:bidi="ar"/>
              </w:rPr>
              <w:t>：</w:t>
            </w:r>
          </w:p>
          <w:p w14:paraId="139DA3AB">
            <w:pPr>
              <w:spacing w:line="520" w:lineRule="exact"/>
              <w:ind w:firstLine="1680" w:firstLineChars="600"/>
              <w:rPr>
                <w:rFonts w:ascii="仿宋_GB2312" w:eastAsia="仿宋_GB2312" w:cs="仿宋_GB2312"/>
                <w:bCs/>
                <w:sz w:val="28"/>
                <w:szCs w:val="28"/>
              </w:rPr>
            </w:pPr>
          </w:p>
          <w:p w14:paraId="219CA486">
            <w:pPr>
              <w:spacing w:line="520" w:lineRule="exact"/>
              <w:rPr>
                <w:rFonts w:ascii="仿宋_GB2312" w:eastAsia="仿宋_GB2312" w:cs="仿宋_GB2312"/>
                <w:bCs/>
                <w:sz w:val="28"/>
                <w:szCs w:val="28"/>
              </w:rPr>
            </w:pPr>
            <w:r>
              <w:rPr>
                <w:rFonts w:ascii="仿宋_GB2312" w:eastAsia="仿宋_GB2312" w:cs="仿宋_GB2312"/>
                <w:bCs/>
                <w:sz w:val="28"/>
                <w:szCs w:val="28"/>
                <w:lang w:bidi="ar"/>
              </w:rPr>
              <w:t>单位地址：</w:t>
            </w:r>
          </w:p>
          <w:p w14:paraId="11607483">
            <w:pPr>
              <w:spacing w:line="520" w:lineRule="exact"/>
              <w:ind w:firstLine="1680" w:firstLineChars="600"/>
              <w:rPr>
                <w:rFonts w:ascii="仿宋_GB2312" w:eastAsia="仿宋_GB2312" w:cs="仿宋_GB2312"/>
                <w:bCs/>
                <w:sz w:val="28"/>
                <w:szCs w:val="28"/>
              </w:rPr>
            </w:pPr>
          </w:p>
          <w:p w14:paraId="3C62722C">
            <w:pPr>
              <w:spacing w:line="520" w:lineRule="exact"/>
              <w:rPr>
                <w:rFonts w:ascii="仿宋_GB2312" w:eastAsia="仿宋_GB2312" w:cs="仿宋_GB2312"/>
                <w:bCs/>
                <w:sz w:val="28"/>
                <w:szCs w:val="28"/>
              </w:rPr>
            </w:pPr>
            <w:r>
              <w:rPr>
                <w:rFonts w:ascii="仿宋_GB2312" w:eastAsia="仿宋_GB2312" w:cs="仿宋_GB2312"/>
                <w:bCs/>
                <w:sz w:val="28"/>
                <w:szCs w:val="28"/>
                <w:lang w:bidi="ar"/>
              </w:rPr>
              <w:t>法定代表人（或委托代理人）：</w:t>
            </w:r>
          </w:p>
          <w:p w14:paraId="27C2DEBF">
            <w:pPr>
              <w:spacing w:line="520" w:lineRule="exact"/>
              <w:rPr>
                <w:rFonts w:ascii="仿宋_GB2312" w:eastAsia="仿宋_GB2312" w:cs="仿宋_GB2312"/>
                <w:bCs/>
                <w:sz w:val="28"/>
                <w:szCs w:val="28"/>
              </w:rPr>
            </w:pPr>
          </w:p>
          <w:p w14:paraId="79E81A47">
            <w:pPr>
              <w:spacing w:line="520" w:lineRule="exact"/>
              <w:rPr>
                <w:rFonts w:ascii="仿宋_GB2312" w:eastAsia="仿宋_GB2312" w:cs="仿宋_GB2312"/>
                <w:bCs/>
                <w:sz w:val="28"/>
                <w:szCs w:val="28"/>
              </w:rPr>
            </w:pPr>
            <w:r>
              <w:rPr>
                <w:rFonts w:hint="eastAsia" w:ascii="仿宋_GB2312" w:eastAsia="仿宋_GB2312" w:cs="仿宋_GB2312"/>
                <w:bCs/>
                <w:sz w:val="28"/>
                <w:szCs w:val="28"/>
              </w:rPr>
              <w:t>联系人及联系方式：</w:t>
            </w:r>
          </w:p>
          <w:p w14:paraId="58450E47">
            <w:pPr>
              <w:spacing w:line="520" w:lineRule="exact"/>
              <w:rPr>
                <w:rFonts w:ascii="仿宋_GB2312" w:eastAsia="仿宋_GB2312" w:cs="仿宋_GB2312"/>
                <w:bCs/>
                <w:sz w:val="28"/>
                <w:szCs w:val="28"/>
              </w:rPr>
            </w:pPr>
          </w:p>
          <w:p w14:paraId="6C4196A0">
            <w:pPr>
              <w:spacing w:line="520" w:lineRule="exact"/>
              <w:rPr>
                <w:rFonts w:ascii="仿宋_GB2312" w:eastAsia="仿宋_GB2312" w:cs="仿宋_GB2312"/>
                <w:bCs/>
                <w:sz w:val="28"/>
                <w:szCs w:val="28"/>
              </w:rPr>
            </w:pPr>
            <w:r>
              <w:rPr>
                <w:rFonts w:ascii="仿宋_GB2312" w:eastAsia="仿宋_GB2312" w:cs="仿宋_GB2312"/>
                <w:bCs/>
                <w:sz w:val="28"/>
                <w:szCs w:val="28"/>
                <w:lang w:bidi="ar"/>
              </w:rPr>
              <w:t>开户银行：</w:t>
            </w:r>
          </w:p>
          <w:p w14:paraId="2B3C7A5A">
            <w:pPr>
              <w:spacing w:line="520" w:lineRule="exact"/>
              <w:ind w:firstLine="1680" w:firstLineChars="600"/>
              <w:rPr>
                <w:rFonts w:ascii="仿宋_GB2312" w:eastAsia="仿宋_GB2312" w:cs="仿宋_GB2312"/>
                <w:bCs/>
                <w:sz w:val="28"/>
                <w:szCs w:val="28"/>
              </w:rPr>
            </w:pPr>
          </w:p>
          <w:p w14:paraId="4A2E9CD8">
            <w:pPr>
              <w:spacing w:line="520" w:lineRule="exact"/>
              <w:rPr>
                <w:rFonts w:ascii="仿宋_GB2312" w:eastAsia="仿宋_GB2312" w:cs="仿宋_GB2312"/>
                <w:bCs/>
                <w:sz w:val="28"/>
                <w:szCs w:val="28"/>
              </w:rPr>
            </w:pPr>
            <w:r>
              <w:rPr>
                <w:rFonts w:hint="eastAsia" w:ascii="仿宋_GB2312" w:eastAsia="仿宋_GB2312" w:cs="仿宋_GB2312"/>
                <w:bCs/>
                <w:sz w:val="28"/>
                <w:szCs w:val="28"/>
                <w:lang w:eastAsia="zh-CN" w:bidi="ar"/>
              </w:rPr>
              <w:t>账号</w:t>
            </w:r>
            <w:r>
              <w:rPr>
                <w:rFonts w:ascii="仿宋_GB2312" w:eastAsia="仿宋_GB2312" w:cs="仿宋_GB2312"/>
                <w:bCs/>
                <w:sz w:val="28"/>
                <w:szCs w:val="28"/>
                <w:lang w:bidi="ar"/>
              </w:rPr>
              <w:t>：</w:t>
            </w:r>
          </w:p>
          <w:p w14:paraId="7943F59D">
            <w:pPr>
              <w:spacing w:line="520" w:lineRule="exact"/>
              <w:rPr>
                <w:rFonts w:ascii="仿宋_GB2312" w:eastAsia="仿宋_GB2312" w:cs="仿宋_GB2312"/>
                <w:bCs/>
                <w:sz w:val="28"/>
                <w:szCs w:val="28"/>
              </w:rPr>
            </w:pPr>
          </w:p>
          <w:p w14:paraId="3F327E7F">
            <w:pPr>
              <w:spacing w:line="520" w:lineRule="exact"/>
              <w:rPr>
                <w:rFonts w:ascii="仿宋_GB2312" w:eastAsia="仿宋_GB2312" w:cs="仿宋_GB2312"/>
                <w:b/>
                <w:sz w:val="28"/>
                <w:szCs w:val="28"/>
              </w:rPr>
            </w:pPr>
            <w:r>
              <w:rPr>
                <w:rFonts w:ascii="仿宋_GB2312" w:eastAsia="仿宋_GB2312" w:cs="仿宋_GB2312"/>
                <w:bCs/>
                <w:sz w:val="28"/>
                <w:szCs w:val="28"/>
                <w:lang w:bidi="ar"/>
              </w:rPr>
              <w:t>税</w:t>
            </w:r>
            <w:r>
              <w:rPr>
                <w:rFonts w:hint="eastAsia" w:ascii="仿宋_GB2312" w:eastAsia="仿宋_GB2312" w:cs="仿宋_GB2312"/>
                <w:bCs/>
                <w:sz w:val="28"/>
                <w:szCs w:val="28"/>
                <w:lang w:bidi="ar"/>
              </w:rPr>
              <w:t>号</w:t>
            </w:r>
            <w:r>
              <w:rPr>
                <w:rFonts w:ascii="仿宋_GB2312" w:eastAsia="仿宋_GB2312" w:cs="仿宋_GB2312"/>
                <w:bCs/>
                <w:sz w:val="28"/>
                <w:szCs w:val="28"/>
                <w:lang w:bidi="ar"/>
              </w:rPr>
              <w:t>：</w:t>
            </w:r>
          </w:p>
        </w:tc>
        <w:tc>
          <w:tcPr>
            <w:tcW w:w="4386" w:type="dxa"/>
            <w:tcBorders>
              <w:top w:val="single" w:color="auto" w:sz="4" w:space="0"/>
              <w:left w:val="nil"/>
              <w:bottom w:val="single" w:color="auto" w:sz="4" w:space="0"/>
              <w:right w:val="single" w:color="auto" w:sz="4" w:space="0"/>
            </w:tcBorders>
          </w:tcPr>
          <w:p w14:paraId="0F2BAEB9">
            <w:pPr>
              <w:spacing w:line="520" w:lineRule="exact"/>
              <w:ind w:firstLine="1680" w:firstLineChars="600"/>
              <w:rPr>
                <w:rFonts w:ascii="仿宋_GB2312" w:eastAsia="仿宋_GB2312" w:cs="仿宋_GB2312"/>
                <w:bCs/>
                <w:sz w:val="28"/>
                <w:szCs w:val="28"/>
              </w:rPr>
            </w:pPr>
            <w:r>
              <w:rPr>
                <w:rFonts w:ascii="仿宋_GB2312" w:eastAsia="仿宋_GB2312" w:cs="仿宋_GB2312"/>
                <w:bCs/>
                <w:sz w:val="28"/>
                <w:szCs w:val="28"/>
                <w:lang w:bidi="ar"/>
              </w:rPr>
              <w:t>乙       方</w:t>
            </w:r>
          </w:p>
          <w:p w14:paraId="19DAA7DB">
            <w:pPr>
              <w:spacing w:line="520" w:lineRule="exact"/>
              <w:ind w:firstLine="1680" w:firstLineChars="600"/>
              <w:rPr>
                <w:rFonts w:ascii="仿宋_GB2312" w:eastAsia="仿宋_GB2312" w:cs="仿宋_GB2312"/>
                <w:bCs/>
                <w:sz w:val="28"/>
                <w:szCs w:val="28"/>
              </w:rPr>
            </w:pPr>
          </w:p>
          <w:p w14:paraId="74663C52">
            <w:pPr>
              <w:spacing w:line="520" w:lineRule="exact"/>
              <w:rPr>
                <w:rFonts w:ascii="仿宋_GB2312" w:eastAsia="仿宋_GB2312" w:cs="仿宋_GB2312"/>
                <w:bCs/>
                <w:sz w:val="28"/>
                <w:szCs w:val="28"/>
                <w:lang w:bidi="ar"/>
              </w:rPr>
            </w:pPr>
            <w:r>
              <w:rPr>
                <w:rFonts w:ascii="仿宋_GB2312" w:eastAsia="仿宋_GB2312" w:cs="仿宋_GB2312"/>
                <w:bCs/>
                <w:sz w:val="28"/>
                <w:szCs w:val="28"/>
                <w:lang w:bidi="ar"/>
              </w:rPr>
              <w:t>单位名称</w:t>
            </w:r>
            <w:r>
              <w:rPr>
                <w:rFonts w:hint="eastAsia" w:ascii="仿宋_GB2312" w:eastAsia="仿宋_GB2312" w:cs="仿宋_GB2312"/>
                <w:bCs/>
                <w:sz w:val="28"/>
                <w:szCs w:val="28"/>
                <w:lang w:eastAsia="zh-CN" w:bidi="ar"/>
              </w:rPr>
              <w:t>（公</w:t>
            </w:r>
            <w:r>
              <w:rPr>
                <w:rFonts w:ascii="仿宋_GB2312" w:eastAsia="仿宋_GB2312" w:cs="仿宋_GB2312"/>
                <w:bCs/>
                <w:sz w:val="28"/>
                <w:szCs w:val="28"/>
                <w:lang w:bidi="ar"/>
              </w:rPr>
              <w:t>章</w:t>
            </w:r>
            <w:r>
              <w:rPr>
                <w:rFonts w:hint="eastAsia" w:ascii="仿宋_GB2312" w:eastAsia="仿宋_GB2312" w:cs="仿宋_GB2312"/>
                <w:bCs/>
                <w:sz w:val="28"/>
                <w:szCs w:val="28"/>
                <w:lang w:eastAsia="zh-CN" w:bidi="ar"/>
              </w:rPr>
              <w:t>）</w:t>
            </w:r>
            <w:r>
              <w:rPr>
                <w:rFonts w:ascii="仿宋_GB2312" w:eastAsia="仿宋_GB2312" w:cs="仿宋_GB2312"/>
                <w:bCs/>
                <w:sz w:val="28"/>
                <w:szCs w:val="28"/>
                <w:lang w:bidi="ar"/>
              </w:rPr>
              <w:t>：</w:t>
            </w:r>
          </w:p>
          <w:p w14:paraId="112505BC">
            <w:pPr>
              <w:spacing w:line="520" w:lineRule="exact"/>
              <w:rPr>
                <w:rFonts w:ascii="仿宋_GB2312" w:eastAsia="仿宋_GB2312" w:cs="仿宋_GB2312"/>
                <w:bCs/>
                <w:sz w:val="28"/>
                <w:szCs w:val="28"/>
                <w:lang w:bidi="ar"/>
              </w:rPr>
            </w:pPr>
          </w:p>
          <w:p w14:paraId="5459BF28">
            <w:pPr>
              <w:spacing w:line="520" w:lineRule="exact"/>
              <w:rPr>
                <w:rFonts w:ascii="仿宋_GB2312" w:eastAsia="仿宋_GB2312" w:cs="仿宋_GB2312"/>
                <w:bCs/>
                <w:sz w:val="28"/>
                <w:szCs w:val="28"/>
                <w:lang w:bidi="ar"/>
              </w:rPr>
            </w:pPr>
            <w:r>
              <w:rPr>
                <w:rFonts w:ascii="仿宋_GB2312" w:eastAsia="仿宋_GB2312" w:cs="仿宋_GB2312"/>
                <w:bCs/>
                <w:sz w:val="28"/>
                <w:szCs w:val="28"/>
                <w:lang w:bidi="ar"/>
              </w:rPr>
              <w:t>单位地址：</w:t>
            </w:r>
          </w:p>
          <w:p w14:paraId="120754C6">
            <w:pPr>
              <w:spacing w:line="520" w:lineRule="exact"/>
              <w:rPr>
                <w:rFonts w:ascii="仿宋_GB2312" w:eastAsia="仿宋_GB2312" w:cs="仿宋_GB2312"/>
                <w:bCs/>
                <w:sz w:val="28"/>
                <w:szCs w:val="28"/>
                <w:lang w:bidi="ar"/>
              </w:rPr>
            </w:pPr>
          </w:p>
          <w:p w14:paraId="3E4BF158">
            <w:pPr>
              <w:spacing w:line="520" w:lineRule="exact"/>
              <w:rPr>
                <w:rFonts w:ascii="仿宋_GB2312" w:eastAsia="仿宋_GB2312" w:cs="仿宋_GB2312"/>
                <w:bCs/>
                <w:sz w:val="28"/>
                <w:szCs w:val="28"/>
              </w:rPr>
            </w:pPr>
            <w:r>
              <w:rPr>
                <w:rFonts w:ascii="仿宋_GB2312" w:eastAsia="仿宋_GB2312" w:cs="仿宋_GB2312"/>
                <w:bCs/>
                <w:sz w:val="28"/>
                <w:szCs w:val="28"/>
                <w:lang w:bidi="ar"/>
              </w:rPr>
              <w:t>法定代表人（或委托代理人）：</w:t>
            </w:r>
          </w:p>
          <w:p w14:paraId="02768667">
            <w:pPr>
              <w:spacing w:line="520" w:lineRule="exact"/>
              <w:rPr>
                <w:rFonts w:ascii="仿宋_GB2312" w:eastAsia="仿宋_GB2312" w:cs="仿宋_GB2312"/>
                <w:bCs/>
                <w:sz w:val="28"/>
                <w:szCs w:val="28"/>
              </w:rPr>
            </w:pPr>
          </w:p>
          <w:p w14:paraId="180ED132">
            <w:pPr>
              <w:spacing w:line="520" w:lineRule="exact"/>
              <w:rPr>
                <w:rFonts w:ascii="仿宋_GB2312" w:eastAsia="仿宋_GB2312" w:cs="仿宋_GB2312"/>
                <w:bCs/>
                <w:sz w:val="28"/>
                <w:szCs w:val="28"/>
                <w:lang w:bidi="ar"/>
              </w:rPr>
            </w:pPr>
            <w:r>
              <w:rPr>
                <w:rFonts w:hint="eastAsia" w:ascii="仿宋_GB2312" w:eastAsia="仿宋_GB2312" w:cs="仿宋_GB2312"/>
                <w:bCs/>
                <w:sz w:val="28"/>
                <w:szCs w:val="28"/>
              </w:rPr>
              <w:t>联系人及联系方式：</w:t>
            </w:r>
          </w:p>
          <w:p w14:paraId="0B7C325A">
            <w:pPr>
              <w:spacing w:line="520" w:lineRule="exact"/>
              <w:rPr>
                <w:rFonts w:ascii="仿宋_GB2312" w:eastAsia="仿宋_GB2312" w:cs="仿宋_GB2312"/>
                <w:bCs/>
                <w:sz w:val="28"/>
                <w:szCs w:val="28"/>
                <w:lang w:bidi="ar"/>
              </w:rPr>
            </w:pPr>
          </w:p>
          <w:p w14:paraId="36A4603E">
            <w:pPr>
              <w:spacing w:line="520" w:lineRule="exact"/>
              <w:rPr>
                <w:rFonts w:ascii="仿宋_GB2312" w:eastAsia="仿宋_GB2312" w:cs="仿宋_GB2312"/>
                <w:bCs/>
                <w:sz w:val="28"/>
                <w:szCs w:val="28"/>
                <w:lang w:bidi="ar"/>
              </w:rPr>
            </w:pPr>
            <w:r>
              <w:rPr>
                <w:rFonts w:ascii="仿宋_GB2312" w:eastAsia="仿宋_GB2312" w:cs="仿宋_GB2312"/>
                <w:bCs/>
                <w:sz w:val="28"/>
                <w:szCs w:val="28"/>
                <w:lang w:bidi="ar"/>
              </w:rPr>
              <w:t>开户银行：</w:t>
            </w:r>
          </w:p>
          <w:p w14:paraId="5B0CF12E">
            <w:pPr>
              <w:spacing w:line="520" w:lineRule="exact"/>
              <w:rPr>
                <w:rFonts w:ascii="仿宋_GB2312" w:eastAsia="仿宋_GB2312" w:cs="仿宋_GB2312"/>
                <w:bCs/>
                <w:sz w:val="28"/>
                <w:szCs w:val="28"/>
                <w:lang w:bidi="ar"/>
              </w:rPr>
            </w:pPr>
          </w:p>
          <w:p w14:paraId="1A8D5691">
            <w:pPr>
              <w:spacing w:line="520" w:lineRule="exact"/>
              <w:rPr>
                <w:rFonts w:ascii="仿宋_GB2312" w:eastAsia="仿宋_GB2312" w:cs="仿宋_GB2312"/>
                <w:bCs/>
                <w:sz w:val="28"/>
                <w:szCs w:val="28"/>
                <w:lang w:bidi="ar"/>
              </w:rPr>
            </w:pPr>
            <w:r>
              <w:rPr>
                <w:rFonts w:hint="eastAsia" w:ascii="仿宋_GB2312" w:eastAsia="仿宋_GB2312" w:cs="仿宋_GB2312"/>
                <w:bCs/>
                <w:sz w:val="28"/>
                <w:szCs w:val="28"/>
                <w:lang w:eastAsia="zh-CN" w:bidi="ar"/>
              </w:rPr>
              <w:t>账号</w:t>
            </w:r>
            <w:r>
              <w:rPr>
                <w:rFonts w:ascii="仿宋_GB2312" w:eastAsia="仿宋_GB2312" w:cs="仿宋_GB2312"/>
                <w:bCs/>
                <w:sz w:val="28"/>
                <w:szCs w:val="28"/>
                <w:lang w:bidi="ar"/>
              </w:rPr>
              <w:t>：</w:t>
            </w:r>
          </w:p>
          <w:p w14:paraId="3B3EBEE2">
            <w:pPr>
              <w:spacing w:line="520" w:lineRule="exact"/>
              <w:rPr>
                <w:rFonts w:ascii="仿宋_GB2312" w:eastAsia="仿宋_GB2312" w:cs="仿宋_GB2312"/>
                <w:bCs/>
                <w:sz w:val="28"/>
                <w:szCs w:val="28"/>
                <w:lang w:bidi="ar"/>
              </w:rPr>
            </w:pPr>
          </w:p>
          <w:p w14:paraId="712DC581">
            <w:pPr>
              <w:spacing w:line="520" w:lineRule="exact"/>
              <w:rPr>
                <w:rFonts w:ascii="仿宋_GB2312" w:eastAsia="仿宋_GB2312" w:cs="仿宋_GB2312"/>
                <w:sz w:val="28"/>
                <w:szCs w:val="28"/>
              </w:rPr>
            </w:pPr>
            <w:r>
              <w:rPr>
                <w:rFonts w:ascii="仿宋_GB2312" w:eastAsia="仿宋_GB2312" w:cs="仿宋_GB2312"/>
                <w:bCs/>
                <w:sz w:val="28"/>
                <w:szCs w:val="28"/>
                <w:lang w:bidi="ar"/>
              </w:rPr>
              <w:t>税号：</w:t>
            </w:r>
          </w:p>
        </w:tc>
      </w:tr>
    </w:tbl>
    <w:p w14:paraId="13787AD3">
      <w:pPr>
        <w:rPr>
          <w:rFonts w:hint="eastAsia" w:ascii="黑体" w:hAnsi="黑体" w:eastAsia="黑体" w:cs="黑体"/>
          <w:b/>
          <w:bCs/>
          <w:sz w:val="32"/>
          <w:szCs w:val="32"/>
        </w:rPr>
      </w:pPr>
      <w:r>
        <w:rPr>
          <w:rFonts w:hint="eastAsia" w:ascii="黑体" w:hAnsi="黑体" w:eastAsia="黑体" w:cs="黑体"/>
          <w:b/>
          <w:bCs/>
          <w:sz w:val="32"/>
          <w:szCs w:val="32"/>
        </w:rPr>
        <w:br w:type="page"/>
      </w:r>
    </w:p>
    <w:p w14:paraId="1E7A2796">
      <w:pPr>
        <w:pStyle w:val="19"/>
        <w:spacing w:line="5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14:paraId="33A6EB9F">
      <w:pPr>
        <w:pStyle w:val="19"/>
        <w:spacing w:line="520" w:lineRule="exact"/>
        <w:jc w:val="center"/>
        <w:rPr>
          <w:rFonts w:hint="eastAsia" w:ascii="黑体" w:hAnsi="黑体" w:eastAsia="黑体" w:cs="黑体"/>
          <w:b/>
          <w:bCs/>
          <w:color w:val="auto"/>
          <w:sz w:val="44"/>
          <w:szCs w:val="44"/>
        </w:rPr>
      </w:pPr>
      <w:r>
        <w:rPr>
          <w:rFonts w:hint="eastAsia" w:ascii="方正小标宋简体" w:hAnsi="方正小标宋简体" w:eastAsia="方正小标宋简体" w:cs="方正小标宋简体"/>
          <w:b w:val="0"/>
          <w:bCs w:val="0"/>
          <w:color w:val="auto"/>
          <w:sz w:val="44"/>
          <w:szCs w:val="44"/>
        </w:rPr>
        <w:t>2026年财务管理办法</w:t>
      </w:r>
    </w:p>
    <w:p w14:paraId="25AA0735">
      <w:pPr>
        <w:widowControl/>
        <w:spacing w:line="520" w:lineRule="exact"/>
        <w:ind w:firstLine="640" w:firstLineChars="200"/>
        <w:jc w:val="center"/>
        <w:rPr>
          <w:rFonts w:hint="eastAsia" w:ascii="黑体" w:hAnsi="黑体" w:eastAsia="黑体" w:cs="黑体"/>
          <w:sz w:val="32"/>
          <w:szCs w:val="32"/>
        </w:rPr>
      </w:pPr>
    </w:p>
    <w:p w14:paraId="58BE5BA9">
      <w:pPr>
        <w:widowControl/>
        <w:numPr>
          <w:ilvl w:val="0"/>
          <w:numId w:val="0"/>
        </w:numPr>
        <w:spacing w:line="520" w:lineRule="exact"/>
        <w:jc w:val="center"/>
        <w:rPr>
          <w:sz w:val="32"/>
          <w:szCs w:val="32"/>
        </w:rPr>
      </w:pPr>
      <w:r>
        <w:rPr>
          <w:rFonts w:hint="eastAsia" w:ascii="黑体" w:hAnsi="黑体" w:eastAsia="黑体" w:cs="黑体"/>
          <w:sz w:val="32"/>
          <w:szCs w:val="32"/>
          <w:lang w:val="en-US" w:eastAsia="zh-CN"/>
        </w:rPr>
        <w:t>第一章</w:t>
      </w:r>
      <w:r>
        <w:rPr>
          <w:rFonts w:hint="eastAsia" w:ascii="黑体" w:hAnsi="黑体" w:eastAsia="黑体" w:cs="黑体"/>
          <w:sz w:val="32"/>
          <w:szCs w:val="32"/>
        </w:rPr>
        <w:t xml:space="preserve"> 总则</w:t>
      </w:r>
    </w:p>
    <w:p w14:paraId="19CF3C0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仿宋" w:eastAsia="仿宋_GB2312"/>
          <w:sz w:val="32"/>
          <w:szCs w:val="32"/>
        </w:rPr>
        <w:t xml:space="preserve">   </w:t>
      </w:r>
      <w:r>
        <w:rPr>
          <w:rFonts w:hint="eastAsia" w:ascii="仿宋_GB2312" w:hAnsi="Times New Roman" w:eastAsia="仿宋_GB2312" w:cs="仿宋_GB2312"/>
          <w:color w:val="auto"/>
          <w:sz w:val="32"/>
          <w:szCs w:val="32"/>
          <w:lang w:bidi="ar"/>
        </w:rPr>
        <w:t xml:space="preserve"> </w:t>
      </w:r>
      <w:r>
        <w:rPr>
          <w:rFonts w:hint="eastAsia" w:ascii="仿宋_GB2312" w:hAnsi="Times New Roman" w:eastAsia="仿宋_GB2312" w:cs="仿宋_GB2312"/>
          <w:color w:val="auto"/>
          <w:sz w:val="32"/>
          <w:szCs w:val="32"/>
          <w:lang w:val="en-US" w:eastAsia="zh-CN" w:bidi="ar"/>
        </w:rPr>
        <w:t>第一条</w:t>
      </w:r>
      <w:r>
        <w:rPr>
          <w:rFonts w:hint="eastAsia" w:ascii="仿宋_GB2312" w:hAnsi="Times New Roman" w:eastAsia="仿宋_GB2312" w:cs="仿宋_GB2312"/>
          <w:color w:val="auto"/>
          <w:sz w:val="32"/>
          <w:szCs w:val="32"/>
          <w:lang w:bidi="ar"/>
        </w:rPr>
        <w:t xml:space="preserve"> </w:t>
      </w:r>
      <w:r>
        <w:rPr>
          <w:rFonts w:hint="eastAsia" w:ascii="仿宋_GB2312" w:hAnsi="Times New Roman" w:eastAsia="仿宋_GB2312" w:cs="仿宋_GB2312"/>
          <w:color w:val="auto"/>
          <w:sz w:val="32"/>
          <w:szCs w:val="32"/>
          <w:lang w:bidi="ar"/>
        </w:rPr>
        <w:t>为进一步推进公司财务工作的制度化、规范化，加强会计监督，规范财务收支行为，严格控制成本</w:t>
      </w:r>
      <w:r>
        <w:rPr>
          <w:rFonts w:hint="eastAsia" w:ascii="仿宋_GB2312" w:hAnsi="Times New Roman" w:eastAsia="仿宋_GB2312" w:cs="仿宋_GB2312"/>
          <w:color w:val="auto"/>
          <w:sz w:val="32"/>
          <w:szCs w:val="32"/>
          <w:lang w:bidi="ar"/>
        </w:rPr>
        <w:t>和压缩各种非生产性费用的支出，根据国家相关</w:t>
      </w:r>
      <w:r>
        <w:rPr>
          <w:rFonts w:hint="eastAsia" w:ascii="仿宋_GB2312" w:hAnsi="Times New Roman" w:eastAsia="仿宋_GB2312" w:cs="仿宋_GB2312"/>
          <w:color w:val="auto"/>
          <w:sz w:val="32"/>
          <w:szCs w:val="32"/>
          <w:lang w:eastAsia="zh-CN" w:bidi="ar"/>
        </w:rPr>
        <w:t>法律法规</w:t>
      </w:r>
      <w:r>
        <w:rPr>
          <w:rFonts w:hint="eastAsia" w:ascii="仿宋_GB2312" w:hAnsi="Times New Roman" w:eastAsia="仿宋_GB2312" w:cs="仿宋_GB2312"/>
          <w:color w:val="auto"/>
          <w:sz w:val="32"/>
          <w:szCs w:val="32"/>
          <w:lang w:bidi="ar"/>
        </w:rPr>
        <w:t>及集团公司相关政策，特制定本办法。</w:t>
      </w:r>
    </w:p>
    <w:p w14:paraId="3C4E5C1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3E3DFBDB">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第二章 收入管理</w:t>
      </w:r>
    </w:p>
    <w:p w14:paraId="6AF3E64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第二条</w:t>
      </w:r>
      <w:r>
        <w:rPr>
          <w:rFonts w:hint="eastAsia" w:ascii="仿宋_GB2312" w:hAnsi="Times New Roman" w:eastAsia="仿宋_GB2312" w:cs="仿宋_GB2312"/>
          <w:color w:val="auto"/>
          <w:sz w:val="32"/>
          <w:szCs w:val="32"/>
          <w:lang w:bidi="ar"/>
        </w:rPr>
        <w:t xml:space="preserve"> 财务收支实行“收支两条线”管理，部门实现的各项收入全额</w:t>
      </w:r>
      <w:r>
        <w:rPr>
          <w:rFonts w:hint="eastAsia" w:ascii="仿宋_GB2312" w:hAnsi="Times New Roman" w:eastAsia="仿宋_GB2312" w:cs="仿宋_GB2312"/>
          <w:color w:val="auto"/>
          <w:sz w:val="32"/>
          <w:szCs w:val="32"/>
          <w:lang w:eastAsia="zh-CN" w:bidi="ar"/>
        </w:rPr>
        <w:t>上缴</w:t>
      </w:r>
      <w:r>
        <w:rPr>
          <w:rFonts w:hint="eastAsia" w:ascii="仿宋_GB2312" w:hAnsi="Times New Roman" w:eastAsia="仿宋_GB2312" w:cs="仿宋_GB2312"/>
          <w:color w:val="auto"/>
          <w:sz w:val="32"/>
          <w:szCs w:val="32"/>
          <w:lang w:bidi="ar"/>
        </w:rPr>
        <w:t>财务，做到应收尽收，严禁隐匿、截留和挪用，杜绝任何形式的“小金库”。</w:t>
      </w:r>
    </w:p>
    <w:p w14:paraId="29D7582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第三条</w:t>
      </w:r>
      <w:r>
        <w:rPr>
          <w:rFonts w:hint="eastAsia" w:ascii="仿宋_GB2312" w:hAnsi="Times New Roman" w:eastAsia="仿宋_GB2312" w:cs="仿宋_GB2312"/>
          <w:color w:val="auto"/>
          <w:sz w:val="32"/>
          <w:szCs w:val="32"/>
          <w:lang w:bidi="ar"/>
        </w:rPr>
        <w:t xml:space="preserve"> </w:t>
      </w:r>
      <w:bookmarkStart w:id="0" w:name="OLE_LINK1"/>
      <w:r>
        <w:rPr>
          <w:rFonts w:hint="eastAsia" w:ascii="仿宋_GB2312" w:hAnsi="Times New Roman" w:eastAsia="仿宋_GB2312" w:cs="仿宋_GB2312"/>
          <w:color w:val="auto"/>
          <w:sz w:val="32"/>
          <w:szCs w:val="32"/>
          <w:lang w:bidi="ar"/>
        </w:rPr>
        <w:t>收入项目。主产品：甲醇；副产品：硫磺、硫酸铵、杂醇油、蒸汽、液氮、氯化钠、硫酸钠；其他：废旧物资、仓储费、中标服务费等。</w:t>
      </w:r>
    </w:p>
    <w:bookmarkEnd w:id="0"/>
    <w:p w14:paraId="455E19A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第四条</w:t>
      </w:r>
      <w:r>
        <w:rPr>
          <w:rFonts w:hint="eastAsia" w:ascii="仿宋_GB2312" w:hAnsi="Times New Roman" w:eastAsia="仿宋_GB2312" w:cs="仿宋_GB2312"/>
          <w:color w:val="auto"/>
          <w:sz w:val="32"/>
          <w:szCs w:val="32"/>
          <w:lang w:bidi="ar"/>
        </w:rPr>
        <w:t xml:space="preserve"> 收款方式。公司一般采用预收款方式对外销售产品，每周结合甲醇库存、市场行情、资金支出确认收取现汇或银行承兑汇票，副产品及其他均收取现汇，由经办部门提交认领客户缴款，经财务共享审批流程后生成机制凭证；收取银行承兑汇票一般为半年期，甲醇定价在现汇价格基</w:t>
      </w:r>
      <w:r>
        <w:rPr>
          <w:rFonts w:hint="eastAsia" w:ascii="仿宋_GB2312" w:hAnsi="Times New Roman" w:eastAsia="仿宋_GB2312" w:cs="仿宋_GB2312"/>
          <w:color w:val="auto"/>
          <w:sz w:val="32"/>
          <w:szCs w:val="32"/>
          <w:lang w:eastAsia="zh-CN" w:bidi="ar"/>
        </w:rPr>
        <w:t>础上</w:t>
      </w:r>
      <w:r>
        <w:rPr>
          <w:rFonts w:hint="eastAsia" w:ascii="仿宋_GB2312" w:hAnsi="Times New Roman" w:eastAsia="仿宋_GB2312" w:cs="仿宋_GB2312"/>
          <w:color w:val="auto"/>
          <w:sz w:val="32"/>
          <w:szCs w:val="32"/>
          <w:lang w:bidi="ar"/>
        </w:rPr>
        <w:t>进行调整：大型银行（工、农、中、建、邮储、交行、招商、浦发、中信、兴业、平安、光大、华夏、民生、浙商银行）加20元/吨（一年期加40元/吨）；小型银行（除上述外）加30元/吨（一年期加60元/吨）；若贴现率与每吨加价差异</w:t>
      </w:r>
      <w:r>
        <w:rPr>
          <w:rFonts w:hint="eastAsia" w:ascii="仿宋_GB2312" w:hAnsi="Times New Roman" w:eastAsia="仿宋_GB2312" w:cs="仿宋_GB2312"/>
          <w:color w:val="auto"/>
          <w:sz w:val="32"/>
          <w:szCs w:val="32"/>
          <w:lang w:eastAsia="zh-CN" w:bidi="ar"/>
        </w:rPr>
        <w:t>超过</w:t>
      </w:r>
      <w:r>
        <w:rPr>
          <w:rFonts w:hint="eastAsia" w:ascii="仿宋_GB2312" w:hAnsi="Times New Roman" w:eastAsia="仿宋_GB2312" w:cs="仿宋_GB2312"/>
          <w:color w:val="auto"/>
          <w:sz w:val="32"/>
          <w:szCs w:val="32"/>
          <w:lang w:bidi="ar"/>
        </w:rPr>
        <w:t>5元、10元，可在对应加价（20元、30元、40元/吨）基础上，上下调整5元、10元/吨。</w:t>
      </w:r>
    </w:p>
    <w:p w14:paraId="460ADFB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第五条</w:t>
      </w:r>
      <w:r>
        <w:rPr>
          <w:rFonts w:hint="eastAsia" w:ascii="仿宋_GB2312" w:hAnsi="Times New Roman" w:eastAsia="仿宋_GB2312" w:cs="仿宋_GB2312"/>
          <w:color w:val="auto"/>
          <w:sz w:val="32"/>
          <w:szCs w:val="32"/>
          <w:lang w:bidi="ar"/>
        </w:rPr>
        <w:t xml:space="preserve"> 产品结算（甲醇、副产品）。财务部依据无人值守系统产品销售量、单价、金额，与销售采购部提供的销售开票确认单核对并签字确认；销售采购部凭财务审核后的销售确认单上传财务共享系统，经财务共享审批流程后，引导税务系统开具发票并生成机制凭证。</w:t>
      </w:r>
    </w:p>
    <w:p w14:paraId="2A34D38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第六条</w:t>
      </w:r>
      <w:r>
        <w:rPr>
          <w:rFonts w:hint="eastAsia" w:ascii="仿宋_GB2312" w:hAnsi="Times New Roman" w:eastAsia="仿宋_GB2312" w:cs="仿宋_GB2312"/>
          <w:color w:val="auto"/>
          <w:sz w:val="32"/>
          <w:szCs w:val="32"/>
          <w:lang w:bidi="ar"/>
        </w:rPr>
        <w:t xml:space="preserve"> 其他结算。1.废旧物资：由经办部门上传废旧物资报告、出库单、销售合同；2.中标服务费：由经办部门上传中标服务费报告；3.仓储费：由经办部门上传仓储费报告。均经财务共享审批流程后，引导税务系统开具发票并生成机制凭证。</w:t>
      </w:r>
    </w:p>
    <w:p w14:paraId="47A3EBC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第七条</w:t>
      </w:r>
      <w:r>
        <w:rPr>
          <w:rFonts w:hint="eastAsia" w:ascii="仿宋_GB2312" w:hAnsi="Times New Roman" w:eastAsia="仿宋_GB2312" w:cs="仿宋_GB2312"/>
          <w:color w:val="auto"/>
          <w:sz w:val="32"/>
          <w:szCs w:val="32"/>
          <w:lang w:bidi="ar"/>
        </w:rPr>
        <w:t xml:space="preserve"> 承包商结算。1.承包商使用公司电力、原水、物料用品，由经办部门上传车间与承包商签字确认的使用量及金额单据（或报告），经财务共享审批流程后生成扣款机制凭证；2.承包商罚款，由经办部门提交认领承包商缴款（承包商确认扣款）并上传经办部门与承包商签字确认罚款通知单，经财务共享审批流程后生成（扣款）机制凭证；3.押金、安全保证金、履约保证金等，由经办部门提交认领承包商缴款并上传押金、安全保证金报告、合同，经财务共享审批流程后生成机制凭证；4.质量保证金，由经办部门提交采购</w:t>
      </w:r>
      <w:r>
        <w:rPr>
          <w:rFonts w:hint="eastAsia" w:ascii="仿宋_GB2312" w:hAnsi="Times New Roman" w:eastAsia="仿宋_GB2312" w:cs="仿宋_GB2312"/>
          <w:color w:val="auto"/>
          <w:sz w:val="32"/>
          <w:szCs w:val="32"/>
          <w:lang w:eastAsia="zh-CN" w:bidi="ar"/>
        </w:rPr>
        <w:t>挂账单</w:t>
      </w:r>
      <w:r>
        <w:rPr>
          <w:rFonts w:hint="eastAsia" w:ascii="仿宋_GB2312" w:hAnsi="Times New Roman" w:eastAsia="仿宋_GB2312" w:cs="仿宋_GB2312"/>
          <w:color w:val="auto"/>
          <w:sz w:val="32"/>
          <w:szCs w:val="32"/>
          <w:lang w:bidi="ar"/>
        </w:rPr>
        <w:t>，按照合同要求扣质量保证金，经财务共享审批流程后生成凭证。</w:t>
      </w:r>
    </w:p>
    <w:p w14:paraId="76986C2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第八条</w:t>
      </w:r>
      <w:r>
        <w:rPr>
          <w:rFonts w:hint="eastAsia" w:ascii="仿宋_GB2312" w:hAnsi="Times New Roman" w:eastAsia="仿宋_GB2312" w:cs="仿宋_GB2312"/>
          <w:color w:val="auto"/>
          <w:sz w:val="32"/>
          <w:szCs w:val="32"/>
          <w:lang w:bidi="ar"/>
        </w:rPr>
        <w:t xml:space="preserve"> 党费、工会会费。由经办部门提交认领收款并上传党费、工会会费缴款报告，经财务共享审批流程后生成机制凭证。</w:t>
      </w:r>
    </w:p>
    <w:p w14:paraId="50793B7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55EAA895">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第三章 原始凭证管理</w:t>
      </w:r>
    </w:p>
    <w:p w14:paraId="265234F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第九条</w:t>
      </w:r>
      <w:r>
        <w:rPr>
          <w:rFonts w:hint="eastAsia" w:ascii="仿宋_GB2312" w:hAnsi="Times New Roman" w:eastAsia="仿宋_GB2312" w:cs="仿宋_GB2312"/>
          <w:color w:val="auto"/>
          <w:sz w:val="32"/>
          <w:szCs w:val="32"/>
          <w:lang w:bidi="ar"/>
        </w:rPr>
        <w:t xml:space="preserve"> 为进一步提升原始凭证入账的合规性、规范性与标准性，特制定本规定。</w:t>
      </w:r>
    </w:p>
    <w:p w14:paraId="3AC7DE7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 xml:space="preserve">第十条 </w:t>
      </w:r>
      <w:r>
        <w:rPr>
          <w:rFonts w:hint="eastAsia" w:ascii="仿宋_GB2312" w:hAnsi="Times New Roman" w:eastAsia="仿宋_GB2312" w:cs="仿宋_GB2312"/>
          <w:color w:val="auto"/>
          <w:sz w:val="32"/>
          <w:szCs w:val="32"/>
          <w:lang w:bidi="ar"/>
        </w:rPr>
        <w:t>发票入账资料</w:t>
      </w:r>
    </w:p>
    <w:p w14:paraId="20ADA40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（一）采购发票入账，要提供合同、发票、验收单；紧急情况下</w:t>
      </w:r>
      <w:r>
        <w:rPr>
          <w:rFonts w:hint="eastAsia" w:ascii="仿宋_GB2312" w:hAnsi="Times New Roman" w:eastAsia="仿宋_GB2312" w:cs="仿宋_GB2312"/>
          <w:color w:val="auto"/>
          <w:sz w:val="32"/>
          <w:szCs w:val="32"/>
          <w:lang w:eastAsia="zh-CN" w:bidi="ar"/>
        </w:rPr>
        <w:t>物资</w:t>
      </w:r>
      <w:r>
        <w:rPr>
          <w:rFonts w:hint="eastAsia" w:ascii="仿宋_GB2312" w:hAnsi="Times New Roman" w:eastAsia="仿宋_GB2312" w:cs="仿宋_GB2312"/>
          <w:color w:val="auto"/>
          <w:sz w:val="32"/>
          <w:szCs w:val="32"/>
          <w:lang w:bidi="ar"/>
        </w:rPr>
        <w:t>采购未能及时签订合同的，要附有申请报告，询比价等资料。</w:t>
      </w:r>
    </w:p>
    <w:p w14:paraId="4079F6C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（二）维修发票入账，要提供合同、发票、结算单、维修验收单；验收单由管理部门组织使用部门进行验收。</w:t>
      </w:r>
    </w:p>
    <w:p w14:paraId="21FE365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（三）工程发票入账，要提供合同、发票、工程进度结算单，零星工程项目要提供三单合一。</w:t>
      </w:r>
    </w:p>
    <w:p w14:paraId="3078A5D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（四）维保发票入账，要提供合同、发票、结算单、考核报告。</w:t>
      </w:r>
    </w:p>
    <w:p w14:paraId="1F7E0B7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（五）服务类发票入账，提供合同、发票、服务报告（如检测报告、审计报告）、结算单。</w:t>
      </w:r>
    </w:p>
    <w:p w14:paraId="418A5AC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（六）非生产性购物入账：要提供申请报告、合同（小额零星采购不提供合同需提供市场调研报告或询比价报告）、验收单、发放清单。</w:t>
      </w:r>
    </w:p>
    <w:p w14:paraId="73C84A0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第十一条</w:t>
      </w:r>
      <w:r>
        <w:rPr>
          <w:rFonts w:hint="eastAsia" w:ascii="仿宋_GB2312" w:hAnsi="Times New Roman" w:eastAsia="仿宋_GB2312" w:cs="仿宋_GB2312"/>
          <w:color w:val="auto"/>
          <w:sz w:val="32"/>
          <w:szCs w:val="32"/>
          <w:lang w:bidi="ar"/>
        </w:rPr>
        <w:t xml:space="preserve"> 除电子发票以外其他入账资料，需提供原件，一般情况下不得以复印件代替原件。</w:t>
      </w:r>
    </w:p>
    <w:p w14:paraId="65CC8C9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733A508C">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第四章 年度工程项目领用材料入账流程</w:t>
      </w:r>
    </w:p>
    <w:p w14:paraId="1F3106F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第十二条</w:t>
      </w:r>
      <w:r>
        <w:rPr>
          <w:rFonts w:hint="eastAsia" w:ascii="仿宋_GB2312" w:hAnsi="Times New Roman" w:eastAsia="仿宋_GB2312" w:cs="仿宋_GB2312"/>
          <w:color w:val="auto"/>
          <w:sz w:val="32"/>
          <w:szCs w:val="32"/>
          <w:lang w:bidi="ar"/>
        </w:rPr>
        <w:t xml:space="preserve"> 年度工程项目材料计划编制。各部门根据年度工程项目编制材料需求计划，报材料计划会进行审议。工程项目材料计划要详细列出工程项目所需的材料名称、规格型号、数量、单价、金额。每项工程材料计划金额原则上不超过每项工程年度计划金额。</w:t>
      </w:r>
    </w:p>
    <w:p w14:paraId="36E41D9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第十三条</w:t>
      </w:r>
      <w:r>
        <w:rPr>
          <w:rFonts w:hint="eastAsia" w:ascii="仿宋_GB2312" w:hAnsi="Times New Roman" w:eastAsia="仿宋_GB2312" w:cs="仿宋_GB2312"/>
          <w:color w:val="auto"/>
          <w:sz w:val="32"/>
          <w:szCs w:val="32"/>
          <w:lang w:bidi="ar"/>
        </w:rPr>
        <w:t xml:space="preserve"> 年度工程项目材料领用报送。每月28日前，各部门根据材料消耗明细表，编制工程项目材料领用明细表，经分管领导审核后报财务部，财务部根据审核后的工程项目材料计划与部门报送工程项目材料领用明细表进行核对，并汇编各工程项目材料领用明细表。</w:t>
      </w:r>
    </w:p>
    <w:p w14:paraId="68504C7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第十四条</w:t>
      </w:r>
      <w:r>
        <w:rPr>
          <w:rFonts w:hint="eastAsia" w:ascii="仿宋_GB2312" w:hAnsi="Times New Roman" w:eastAsia="仿宋_GB2312" w:cs="仿宋_GB2312"/>
          <w:color w:val="auto"/>
          <w:sz w:val="32"/>
          <w:szCs w:val="32"/>
          <w:lang w:bidi="ar"/>
        </w:rPr>
        <w:t xml:space="preserve"> 分配工程项目材料。月底根据汇编各工程项目领用材料明细表，分配到各工程项目中，分配到项目中的材料合计金额原则上不能超过工程项目计划金额，超过部分纳入车间、部门材料考核，如工程预算金额确实不足，上报集团公司审核通过后，超过的部分不再纳入车间、部门材料考核。</w:t>
      </w:r>
    </w:p>
    <w:p w14:paraId="6B91B7C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50438177">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第五章 年薪制休假报销有关规定</w:t>
      </w:r>
    </w:p>
    <w:p w14:paraId="48CA92F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第十五条</w:t>
      </w:r>
      <w:r>
        <w:rPr>
          <w:rFonts w:hint="eastAsia" w:ascii="仿宋_GB2312" w:hAnsi="Times New Roman" w:eastAsia="仿宋_GB2312" w:cs="仿宋_GB2312"/>
          <w:color w:val="auto"/>
          <w:sz w:val="32"/>
          <w:szCs w:val="32"/>
          <w:lang w:bidi="ar"/>
        </w:rPr>
        <w:t xml:space="preserve"> 年薪制人员休假费用报销由综合部办理，休假报销须如实取得合法票据。</w:t>
      </w:r>
    </w:p>
    <w:p w14:paraId="1E74D45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0301DEF4">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第六章 备用金管理</w:t>
      </w:r>
    </w:p>
    <w:p w14:paraId="79D2DA9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第十六条</w:t>
      </w:r>
      <w:r>
        <w:rPr>
          <w:rFonts w:hint="eastAsia" w:ascii="仿宋_GB2312" w:hAnsi="Times New Roman" w:eastAsia="仿宋_GB2312" w:cs="仿宋_GB2312"/>
          <w:color w:val="auto"/>
          <w:sz w:val="32"/>
          <w:szCs w:val="32"/>
          <w:lang w:bidi="ar"/>
        </w:rPr>
        <w:t xml:space="preserve"> 为加强备用金管理，规范借款行为，提高资金使用效率，特对备用金使用</w:t>
      </w:r>
      <w:r>
        <w:rPr>
          <w:rFonts w:hint="eastAsia" w:ascii="仿宋_GB2312" w:hAnsi="Times New Roman" w:eastAsia="仿宋_GB2312" w:cs="仿宋_GB2312"/>
          <w:color w:val="auto"/>
          <w:sz w:val="32"/>
          <w:szCs w:val="32"/>
          <w:lang w:eastAsia="zh-CN" w:bidi="ar"/>
        </w:rPr>
        <w:t>作出</w:t>
      </w:r>
      <w:r>
        <w:rPr>
          <w:rFonts w:hint="eastAsia" w:ascii="仿宋_GB2312" w:hAnsi="Times New Roman" w:eastAsia="仿宋_GB2312" w:cs="仿宋_GB2312"/>
          <w:color w:val="auto"/>
          <w:sz w:val="32"/>
          <w:szCs w:val="32"/>
          <w:lang w:bidi="ar"/>
        </w:rPr>
        <w:t xml:space="preserve">如下规定。 </w:t>
      </w:r>
    </w:p>
    <w:p w14:paraId="29194D58">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第十七条</w:t>
      </w:r>
      <w:r>
        <w:rPr>
          <w:rFonts w:hint="eastAsia" w:ascii="仿宋_GB2312" w:hAnsi="Times New Roman" w:eastAsia="仿宋_GB2312" w:cs="仿宋_GB2312"/>
          <w:color w:val="auto"/>
          <w:sz w:val="32"/>
          <w:szCs w:val="32"/>
          <w:lang w:bidi="ar"/>
        </w:rPr>
        <w:t xml:space="preserve"> 本条所称备用金，主要是指公司职工因公借款，用于支付与业务相关的、必须预支或尚不具备报销条件的周转金。备用金分为临时备用金和定额备用金。 </w:t>
      </w:r>
    </w:p>
    <w:p w14:paraId="4AB8FC1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楷体_GB2312" w:hAnsi="楷体_GB2312" w:eastAsia="楷体_GB2312" w:cs="楷体_GB2312"/>
          <w:color w:val="auto"/>
          <w:sz w:val="32"/>
          <w:szCs w:val="32"/>
          <w:lang w:bidi="ar"/>
        </w:rPr>
        <w:t>（一）临时备用金：</w:t>
      </w:r>
      <w:r>
        <w:rPr>
          <w:rFonts w:hint="eastAsia" w:ascii="仿宋_GB2312" w:hAnsi="Times New Roman" w:eastAsia="仿宋_GB2312" w:cs="仿宋_GB2312"/>
          <w:color w:val="auto"/>
          <w:sz w:val="32"/>
          <w:szCs w:val="32"/>
          <w:lang w:bidi="ar"/>
        </w:rPr>
        <w:t xml:space="preserve">指因临时需要而借支的现金，用于差旅费、零星开支等，业务完成后一次性全部结清。 </w:t>
      </w:r>
    </w:p>
    <w:p w14:paraId="35AADC8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楷体_GB2312" w:hAnsi="楷体_GB2312" w:eastAsia="楷体_GB2312" w:cs="楷体_GB2312"/>
          <w:color w:val="auto"/>
          <w:sz w:val="32"/>
          <w:szCs w:val="32"/>
          <w:lang w:bidi="ar"/>
        </w:rPr>
        <w:t>（二）定额备用金：</w:t>
      </w:r>
      <w:r>
        <w:rPr>
          <w:rFonts w:hint="eastAsia" w:ascii="仿宋_GB2312" w:hAnsi="Times New Roman" w:eastAsia="仿宋_GB2312" w:cs="仿宋_GB2312"/>
          <w:color w:val="auto"/>
          <w:sz w:val="32"/>
          <w:szCs w:val="32"/>
          <w:lang w:bidi="ar"/>
        </w:rPr>
        <w:t xml:space="preserve">指用于支出项目和金额相对固定、支出频繁的业务，在一定期限内可以循环使用的周转金。 </w:t>
      </w:r>
    </w:p>
    <w:p w14:paraId="76DA5A3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第十八条</w:t>
      </w:r>
      <w:r>
        <w:rPr>
          <w:rFonts w:hint="eastAsia" w:ascii="仿宋_GB2312" w:hAnsi="Times New Roman" w:eastAsia="仿宋_GB2312" w:cs="仿宋_GB2312"/>
          <w:color w:val="auto"/>
          <w:sz w:val="32"/>
          <w:szCs w:val="32"/>
          <w:lang w:bidi="ar"/>
        </w:rPr>
        <w:t xml:space="preserve"> 备用金管理原则：专款专用原则，备用金需据实填写用途，不得挪作他用，更不得编造虚假事由套取资金；时效性原则，临时备用金时效为2个月，定额备用金最长时效为一年（即公历1月1日至12月31日）。 </w:t>
      </w:r>
    </w:p>
    <w:p w14:paraId="31C4CF6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第十九条</w:t>
      </w:r>
      <w:r>
        <w:rPr>
          <w:rFonts w:hint="eastAsia" w:ascii="仿宋_GB2312" w:hAnsi="Times New Roman" w:eastAsia="仿宋_GB2312" w:cs="仿宋_GB2312"/>
          <w:color w:val="auto"/>
          <w:sz w:val="32"/>
          <w:szCs w:val="32"/>
          <w:lang w:bidi="ar"/>
        </w:rPr>
        <w:t xml:space="preserve"> 申请备用金：临时备用金由经办部门人员提交借款单，详细说明借款用途、金额，经财务共享审批流程后生成借款机制凭证；定额备用金由经办部门人员提交借款单，说明借款用途，并上传定额备用金报告，经财务共享审批流程后生成借款机制凭证。</w:t>
      </w:r>
    </w:p>
    <w:p w14:paraId="66552BA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第二十条</w:t>
      </w:r>
      <w:r>
        <w:rPr>
          <w:rFonts w:hint="eastAsia" w:ascii="仿宋_GB2312" w:hAnsi="Times New Roman" w:eastAsia="仿宋_GB2312" w:cs="仿宋_GB2312"/>
          <w:color w:val="auto"/>
          <w:sz w:val="32"/>
          <w:szCs w:val="32"/>
          <w:lang w:bidi="ar"/>
        </w:rPr>
        <w:t xml:space="preserve"> 借款人经办业务结束后，应及时办理报销审批手续，并到财务部结清备用金借款，备用金每年12月31日前必须全额清零，原则上不得跨年使用。 </w:t>
      </w:r>
    </w:p>
    <w:p w14:paraId="6C77CCC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 xml:space="preserve">（一）临时备用金借款的借支时间从借支备用金到借款人账户之日起不得超过2个月，且结清日期不得超过12月31日。 </w:t>
      </w:r>
    </w:p>
    <w:p w14:paraId="4AF8C457">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 xml:space="preserve">（二）定额备用金借款的借支时间从借支备用金到借款人账户之日起不得超过12个月，且结清日期不得超过12月31日；确需继续使用的，在下一年度重新办理借款手续。 </w:t>
      </w:r>
    </w:p>
    <w:p w14:paraId="44911EC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第二十一条</w:t>
      </w:r>
      <w:r>
        <w:rPr>
          <w:rFonts w:hint="eastAsia" w:ascii="仿宋_GB2312" w:hAnsi="Times New Roman" w:eastAsia="仿宋_GB2312" w:cs="仿宋_GB2312"/>
          <w:color w:val="auto"/>
          <w:sz w:val="32"/>
          <w:szCs w:val="32"/>
          <w:lang w:bidi="ar"/>
        </w:rPr>
        <w:t xml:space="preserve"> 借款人岗位调整、调离、退休、辞职或其他因素离开原部门时，须先到财务部结清备用金，方可到人力资源部办理迁调、离职等手续。 </w:t>
      </w:r>
    </w:p>
    <w:p w14:paraId="0E56F56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第二十二条</w:t>
      </w:r>
      <w:r>
        <w:rPr>
          <w:rFonts w:hint="eastAsia" w:ascii="仿宋_GB2312" w:hAnsi="Times New Roman" w:eastAsia="仿宋_GB2312" w:cs="仿宋_GB2312"/>
          <w:color w:val="auto"/>
          <w:sz w:val="32"/>
          <w:szCs w:val="32"/>
          <w:lang w:bidi="ar"/>
        </w:rPr>
        <w:t xml:space="preserve"> 公司严禁审批职工非因公借款，谁审批谁负责。</w:t>
      </w:r>
    </w:p>
    <w:p w14:paraId="3911A8A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758074B2">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第七章 税费管理</w:t>
      </w:r>
    </w:p>
    <w:p w14:paraId="5C09C2E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第二十三条</w:t>
      </w:r>
      <w:r>
        <w:rPr>
          <w:rFonts w:hint="eastAsia" w:ascii="仿宋_GB2312" w:hAnsi="Times New Roman" w:eastAsia="仿宋_GB2312" w:cs="仿宋_GB2312"/>
          <w:color w:val="auto"/>
          <w:sz w:val="32"/>
          <w:szCs w:val="32"/>
          <w:lang w:bidi="ar"/>
        </w:rPr>
        <w:t xml:space="preserve"> 为规范公司纳税行为，强化税务管理，提高公司税费管理水平，特作如下规定。</w:t>
      </w:r>
    </w:p>
    <w:p w14:paraId="7D87FE7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第二十四条</w:t>
      </w:r>
      <w:r>
        <w:rPr>
          <w:rFonts w:hint="eastAsia" w:ascii="仿宋_GB2312" w:hAnsi="Times New Roman" w:eastAsia="仿宋_GB2312" w:cs="仿宋_GB2312"/>
          <w:color w:val="auto"/>
          <w:sz w:val="32"/>
          <w:szCs w:val="32"/>
          <w:lang w:bidi="ar"/>
        </w:rPr>
        <w:t xml:space="preserve"> 税费管理目标，依法履行纳税义务，真实、准确、及时、完整地计算、申报和缴纳税款；将税费管理纳入企业经营决策，做好涉税事务过程控制；规范税务资料的传递与审核程序，防范纳税管理风险；依法、科学开展税费筹划、提高税费管理效益。</w:t>
      </w:r>
    </w:p>
    <w:p w14:paraId="6539616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第二十五条</w:t>
      </w:r>
      <w:r>
        <w:rPr>
          <w:rFonts w:hint="eastAsia" w:ascii="仿宋_GB2312" w:hAnsi="Times New Roman" w:eastAsia="仿宋_GB2312" w:cs="仿宋_GB2312"/>
          <w:color w:val="auto"/>
          <w:sz w:val="32"/>
          <w:szCs w:val="32"/>
          <w:lang w:bidi="ar"/>
        </w:rPr>
        <w:t xml:space="preserve"> 税费管理基本原则，严格遵守国家税收法律、法规和政策，熟悉税收政策，规范纳税行为，严禁偷税、逃税、抗税、骗税和其他违反税收法律、法规行为。</w:t>
      </w:r>
    </w:p>
    <w:p w14:paraId="6559E41C">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第二十六条</w:t>
      </w:r>
      <w:r>
        <w:rPr>
          <w:rFonts w:hint="eastAsia" w:ascii="仿宋_GB2312" w:hAnsi="Times New Roman" w:eastAsia="仿宋_GB2312" w:cs="仿宋_GB2312"/>
          <w:color w:val="auto"/>
          <w:sz w:val="32"/>
          <w:szCs w:val="32"/>
          <w:lang w:bidi="ar"/>
        </w:rPr>
        <w:t xml:space="preserve"> 纳税核算，税务会计要正确计算相关税费，并规范核算；所有的计税凭证须附有计算过程、票据或文字说明等。</w:t>
      </w:r>
    </w:p>
    <w:p w14:paraId="4490FB8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 xml:space="preserve">第二十七条 </w:t>
      </w:r>
      <w:r>
        <w:rPr>
          <w:rFonts w:hint="eastAsia" w:ascii="仿宋_GB2312" w:hAnsi="Times New Roman" w:eastAsia="仿宋_GB2312" w:cs="仿宋_GB2312"/>
          <w:color w:val="auto"/>
          <w:sz w:val="32"/>
          <w:szCs w:val="32"/>
          <w:lang w:bidi="ar"/>
        </w:rPr>
        <w:t>纳税申报与缴纳，税务会计须依据税法规定的申报期限及内容，如实办理纳税申报，准确报送纳税申报表、会计报表等相关纳税资料；同时，需在税法规定的缴纳期限内，足额完成税款缴纳；</w:t>
      </w:r>
    </w:p>
    <w:p w14:paraId="090D954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第二十八条</w:t>
      </w:r>
      <w:r>
        <w:rPr>
          <w:rFonts w:hint="eastAsia" w:ascii="仿宋_GB2312" w:hAnsi="Times New Roman" w:eastAsia="仿宋_GB2312" w:cs="仿宋_GB2312"/>
          <w:color w:val="auto"/>
          <w:sz w:val="32"/>
          <w:szCs w:val="32"/>
          <w:lang w:bidi="ar"/>
        </w:rPr>
        <w:t xml:space="preserve"> 税务会计需对纳税资料进行分类整理，并按规定妥善保管。其中，纳税资料具体包括：纳税申报表、纳税登记资料、发票抵扣联、税务鉴定报告、税务机关批文及其他涉税资料。</w:t>
      </w:r>
    </w:p>
    <w:p w14:paraId="6925741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第二十九条</w:t>
      </w:r>
      <w:r>
        <w:rPr>
          <w:rFonts w:hint="eastAsia" w:ascii="仿宋_GB2312" w:hAnsi="Times New Roman" w:eastAsia="仿宋_GB2312" w:cs="仿宋_GB2312"/>
          <w:color w:val="auto"/>
          <w:sz w:val="32"/>
          <w:szCs w:val="32"/>
          <w:lang w:bidi="ar"/>
        </w:rPr>
        <w:t xml:space="preserve"> 税务会计应超前开展税收筹划工作，在税法许可范围内灵活办理纳税申报，若发现问题需及时整改；需强化全员节税意识，重点加强增值税管理，对于符合增值税抵扣范围的各类支出，须取得合规有效的增值税专用发票。同时，积极研究国家发布的各项税收政策与法规，充分运用各类税收优惠政策，在合法合规前提下合理规避税款、降低企业税负，实现税务管控增值目标。</w:t>
      </w:r>
    </w:p>
    <w:p w14:paraId="5CE3EE13">
      <w:pPr>
        <w:pStyle w:val="19"/>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第八章 全面预算管理</w:t>
      </w:r>
    </w:p>
    <w:p w14:paraId="2F31269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第三十条</w:t>
      </w:r>
      <w:r>
        <w:rPr>
          <w:rFonts w:hint="eastAsia" w:ascii="仿宋_GB2312" w:hAnsi="Times New Roman" w:eastAsia="仿宋_GB2312" w:cs="仿宋_GB2312"/>
          <w:color w:val="auto"/>
          <w:sz w:val="32"/>
          <w:szCs w:val="32"/>
          <w:lang w:bidi="ar"/>
        </w:rPr>
        <w:t xml:space="preserve"> 为保障集团公司总体战略规划目标落地，强化经营过程管控与考核机制，提升经营管理水平与质量，结合公司实际运营情况，特对全面预算作出如下规定。</w:t>
      </w:r>
    </w:p>
    <w:p w14:paraId="0BA1767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第三十一条</w:t>
      </w:r>
      <w:r>
        <w:rPr>
          <w:rFonts w:hint="eastAsia" w:ascii="仿宋_GB2312" w:hAnsi="Times New Roman" w:eastAsia="仿宋_GB2312" w:cs="仿宋_GB2312"/>
          <w:color w:val="auto"/>
          <w:sz w:val="32"/>
          <w:szCs w:val="32"/>
          <w:lang w:bidi="ar"/>
        </w:rPr>
        <w:t xml:space="preserve"> 落实全面预算工作要求。</w:t>
      </w:r>
    </w:p>
    <w:p w14:paraId="4C49D13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（一）依据集团公司下达的年度任务目标及年度计划，组织开展全面预算的编制、审核与上报工作，确保数据真实、逻辑严谨；</w:t>
      </w:r>
    </w:p>
    <w:p w14:paraId="46EC616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（二）按照集团公司要求，将预算指标按时间维度（月度）与空间维度（业务单元）进行细化分解，明确责任主体，实现层层落实、闭环管理；</w:t>
      </w:r>
    </w:p>
    <w:p w14:paraId="75629E1C">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（三）推动公司预算全周期管理，涵盖预算执行跟踪、过程监督、考核评价及差异分析，及时识别问题并推动整改。</w:t>
      </w:r>
    </w:p>
    <w:p w14:paraId="6358A09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第三十二条</w:t>
      </w:r>
      <w:r>
        <w:rPr>
          <w:rFonts w:hint="eastAsia" w:ascii="仿宋_GB2312" w:hAnsi="Times New Roman" w:eastAsia="仿宋_GB2312" w:cs="仿宋_GB2312"/>
          <w:color w:val="auto"/>
          <w:sz w:val="32"/>
          <w:szCs w:val="32"/>
          <w:lang w:bidi="ar"/>
        </w:rPr>
        <w:t xml:space="preserve"> 全面预算管理原则：</w:t>
      </w:r>
    </w:p>
    <w:p w14:paraId="5A169E6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战略导向原则。以集团公司战略规划目标为核心，结合内外部市场环境、行业趋势及公司实际经营状况，科学制定年度任务目标，确保全面预算管理服从于集团战略目标。</w:t>
      </w:r>
    </w:p>
    <w:p w14:paraId="30C77018">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业财融合原则。构建覆盖财务、投资、资金等全业务领域的预算体系，贯穿企业人、财、物各领域及产、供、销各环节，以安全生产为先导、财务协同为支撑，将预算管理嵌入安全生产与经营管理全流程，实现预算与业务的精准衔接。</w:t>
      </w:r>
    </w:p>
    <w:p w14:paraId="6E2415A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平衡性原则。统筹平衡整体利益与局部利益、收入增长与成本控制、经营效益与风险防控的关系，推动企业持续高质量发展。</w:t>
      </w:r>
    </w:p>
    <w:p w14:paraId="79602FD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权变性原则。全面预算管理坚持预算刚性约束与柔性调整相结合，既严格执行预算指标对经营管理的管控要求，又可根据内外部环境重大变化按流程调整预算，并对例外事项进行特殊处理。</w:t>
      </w:r>
    </w:p>
    <w:p w14:paraId="7A191D1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第三十三条</w:t>
      </w:r>
      <w:r>
        <w:rPr>
          <w:rFonts w:hint="eastAsia" w:ascii="仿宋_GB2312" w:hAnsi="Times New Roman" w:eastAsia="仿宋_GB2312" w:cs="仿宋_GB2312"/>
          <w:color w:val="auto"/>
          <w:sz w:val="32"/>
          <w:szCs w:val="32"/>
          <w:lang w:bidi="ar"/>
        </w:rPr>
        <w:t xml:space="preserve"> 预算编制依据。全面预算编制以公司年度计划为核心依据。充分研判未来市场供需、价格波动、政策导向等外部形势，结合公司装置运行、管理能力等内部形势，合理配置人、财、物等资源。</w:t>
      </w:r>
    </w:p>
    <w:p w14:paraId="307E7D5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第三十四条</w:t>
      </w:r>
      <w:r>
        <w:rPr>
          <w:rFonts w:hint="eastAsia" w:ascii="仿宋_GB2312" w:hAnsi="Times New Roman" w:eastAsia="仿宋_GB2312" w:cs="仿宋_GB2312"/>
          <w:color w:val="auto"/>
          <w:sz w:val="32"/>
          <w:szCs w:val="32"/>
          <w:lang w:bidi="ar"/>
        </w:rPr>
        <w:t xml:space="preserve"> 预算编制内容及顺序。全面预算编制一般按照经营预算、资本预算、资金预算和财务预算的顺序进行。</w:t>
      </w:r>
    </w:p>
    <w:p w14:paraId="7F9B0EB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经营预算是指公司日常业务活动的预算，是以年度经营计划为基础，反映预算年度日常业务开展的产出和投入。包括生产预算、销售预算、成本预算（材料、电力、原水、人工及社保、折旧、修理、劳务、环保预算等）、费用预算（管理费用、财务费用）、其他业务收支预算、营业外收支预算及资产减值损失预算等。</w:t>
      </w:r>
    </w:p>
    <w:p w14:paraId="7A8FEDA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（二）资本预算是公司在预算期内进行固定资产投资活动的预算。固定资产投资预算是企业购建、改建、扩建、更新固定资产进行资本投资的预算，应依据年度工程计划编制。</w:t>
      </w:r>
    </w:p>
    <w:p w14:paraId="7E9CE69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（三）资金预算是指预算年度内资金收支活动的统筹规划，包括日常资金收支预算和筹资预算。</w:t>
      </w:r>
    </w:p>
    <w:p w14:paraId="6448629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1.日常资金收支预算是与业务预算和资本预算相关联的资金收入预算和资金支出预算，与业务预算和资本预算同步编制；</w:t>
      </w:r>
    </w:p>
    <w:p w14:paraId="47FA117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2.筹资预算是公司在预算期内新增集团借款、融资租赁还本付息、集团借款利息偿还等融资相关预算，明确筹资规模、期限及成本。</w:t>
      </w:r>
    </w:p>
    <w:p w14:paraId="5F7C01C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（四）财务预算是指以经营预算、资本预算、资金预算为基础，按统一表格格式反映预算年度经营成果与财务状况，主要包括预计资产负债表、预计利润表、预计现金流量表。</w:t>
      </w:r>
    </w:p>
    <w:p w14:paraId="335E08F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第三十五条 全面预算编制遵循“上下结合、分级编制、逐级汇总”的流程。采用“两下两上”方式实施。</w:t>
      </w:r>
    </w:p>
    <w:p w14:paraId="3989B58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一下：集团公司下达年度主要计划指标，并明确预算编制的原则、方法及时间节点。</w:t>
      </w:r>
    </w:p>
    <w:p w14:paraId="7304F94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一上：按照集团公司下达的主要计划指标，结合公司实际及计划安排，编制全面预算草案上报至集团公司资产财务部。</w:t>
      </w:r>
    </w:p>
    <w:p w14:paraId="20DC8D8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二下：集团公司全面预算编制工作领导小组根据公司实际对上报预算草案进行审核、调整。于集团公司职代会后下达至公司。</w:t>
      </w:r>
    </w:p>
    <w:p w14:paraId="482D975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二上：公司根据集团“二下”的预算，结合集团分解要求与自身业务实际，细化分解至各责任单元，形成公司最终分解预算，上报集团公司资产财务部，作为年度生产经营预算执行、分析与考核的标准。</w:t>
      </w:r>
    </w:p>
    <w:p w14:paraId="181463D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 xml:space="preserve">第三十六条 </w:t>
      </w:r>
      <w:r>
        <w:rPr>
          <w:rFonts w:hint="eastAsia" w:ascii="仿宋_GB2312" w:hAnsi="Times New Roman" w:eastAsia="仿宋_GB2312" w:cs="仿宋_GB2312"/>
          <w:color w:val="auto"/>
          <w:sz w:val="32"/>
          <w:szCs w:val="32"/>
          <w:lang w:bidi="ar"/>
        </w:rPr>
        <w:t>公司按照集团统一格式、要求编制全面预算，并按期上报。全面预算包括全面预算编制说明、全面预算报表、相关资料。</w:t>
      </w:r>
    </w:p>
    <w:p w14:paraId="6145EFA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第三十七条</w:t>
      </w:r>
      <w:r>
        <w:rPr>
          <w:rFonts w:hint="eastAsia" w:ascii="仿宋_GB2312" w:hAnsi="Times New Roman" w:eastAsia="仿宋_GB2312" w:cs="仿宋_GB2312"/>
          <w:color w:val="auto"/>
          <w:sz w:val="32"/>
          <w:szCs w:val="32"/>
          <w:lang w:bidi="ar"/>
        </w:rPr>
        <w:t xml:space="preserve"> 根据集团下达的全面预算，公司在规定时间内完成各指标的分解工作，将预算责任落实到各车间部门，明确责任主体目标及考核标准，形成“横向到边、纵向到底”的责任体系。</w:t>
      </w:r>
    </w:p>
    <w:p w14:paraId="5308231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第三十八条</w:t>
      </w:r>
      <w:r>
        <w:rPr>
          <w:rFonts w:hint="eastAsia" w:ascii="仿宋_GB2312" w:hAnsi="Times New Roman" w:eastAsia="仿宋_GB2312" w:cs="仿宋_GB2312"/>
          <w:color w:val="auto"/>
          <w:sz w:val="32"/>
          <w:szCs w:val="32"/>
          <w:lang w:bidi="ar"/>
        </w:rPr>
        <w:t xml:space="preserve"> 预算控制应以目标为导向，通过业务审批、财务确认、执行反馈、执行预警、效果分析、流程优化等关键环节，实现预算的事前、事中过程管控、事后纠偏。具体有限额使用控制、事前报备控制、过程跟踪控制、百分比控制、关联项目控制、当期控制和累计控制、单项控制和总额控制等做法；严格执行集团公司下达的年度全面预算，切实加强对投资、融资、物资采购、商品销售等重大事项以及成本费用预算执行情况的跟踪和过程监督，以保证预算得到有效执行。</w:t>
      </w:r>
    </w:p>
    <w:p w14:paraId="7A36735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15F35F25">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第九章 月度资金预算管理</w:t>
      </w:r>
    </w:p>
    <w:p w14:paraId="3495CB3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第三十九条</w:t>
      </w:r>
      <w:r>
        <w:rPr>
          <w:rFonts w:hint="eastAsia" w:ascii="仿宋_GB2312" w:hAnsi="Times New Roman" w:eastAsia="仿宋_GB2312" w:cs="仿宋_GB2312"/>
          <w:color w:val="auto"/>
          <w:sz w:val="32"/>
          <w:szCs w:val="32"/>
          <w:lang w:bidi="ar"/>
        </w:rPr>
        <w:t xml:space="preserve"> 月度资金计划编制原则：量入为出、以收定支，统筹安排、确保重点；月度资金支付原则：一般款项，当月入账，当月排资金计划，次月付款；合同预付款及零星报销，当月排资金计划，次月付款。</w:t>
      </w:r>
    </w:p>
    <w:p w14:paraId="71A1960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第四十条</w:t>
      </w:r>
      <w:r>
        <w:rPr>
          <w:rFonts w:hint="eastAsia" w:ascii="仿宋_GB2312" w:hAnsi="Times New Roman" w:eastAsia="仿宋_GB2312" w:cs="仿宋_GB2312"/>
          <w:color w:val="auto"/>
          <w:sz w:val="32"/>
          <w:szCs w:val="32"/>
          <w:lang w:bidi="ar"/>
        </w:rPr>
        <w:t xml:space="preserve"> 下月资金预算编制流程，每月25日，各部门提交下月资金收支计划；每月月底，根据月末资金情况、下月融资计划、下月部门计划，按编制原则汇总整理，形成下月资金计划；经公司领导审议后，于下月初提交办公会审议。</w:t>
      </w:r>
    </w:p>
    <w:p w14:paraId="5F0497D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第四十一条</w:t>
      </w:r>
      <w:r>
        <w:rPr>
          <w:rFonts w:hint="eastAsia" w:ascii="仿宋_GB2312" w:hAnsi="Times New Roman" w:eastAsia="仿宋_GB2312" w:cs="仿宋_GB2312"/>
          <w:color w:val="auto"/>
          <w:sz w:val="32"/>
          <w:szCs w:val="32"/>
          <w:lang w:bidi="ar"/>
        </w:rPr>
        <w:t xml:space="preserve"> 资金预算执行原则，资金支付严格按审议通过的月度资金计划执行；部门预算外资金支付，需经经营副总经理、公司主要领导审批，且该支出挤占部门其他款项支付额；月度预算外资金支付</w:t>
      </w:r>
      <w:r>
        <w:rPr>
          <w:rFonts w:hint="eastAsia" w:ascii="仿宋_GB2312" w:hAnsi="Times New Roman" w:eastAsia="仿宋_GB2312" w:cs="仿宋_GB2312"/>
          <w:color w:val="auto"/>
          <w:sz w:val="32"/>
          <w:szCs w:val="32"/>
          <w:lang w:eastAsia="zh-CN" w:bidi="ar"/>
        </w:rPr>
        <w:t>超过</w:t>
      </w:r>
      <w:r>
        <w:rPr>
          <w:rFonts w:hint="eastAsia" w:ascii="仿宋_GB2312" w:hAnsi="Times New Roman" w:eastAsia="仿宋_GB2312" w:cs="仿宋_GB2312"/>
          <w:color w:val="auto"/>
          <w:sz w:val="32"/>
          <w:szCs w:val="32"/>
          <w:lang w:bidi="ar"/>
        </w:rPr>
        <w:t>1次，每超出1次按200元标准对部门实施考核。</w:t>
      </w:r>
    </w:p>
    <w:p w14:paraId="4E417668">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第四十二条</w:t>
      </w:r>
      <w:r>
        <w:rPr>
          <w:rFonts w:hint="eastAsia" w:ascii="仿宋_GB2312" w:hAnsi="Times New Roman" w:eastAsia="仿宋_GB2312" w:cs="仿宋_GB2312"/>
          <w:color w:val="auto"/>
          <w:sz w:val="32"/>
          <w:szCs w:val="32"/>
          <w:lang w:bidi="ar"/>
        </w:rPr>
        <w:t xml:space="preserve"> 款项支付流程，一般款项，由经办部门根据审核后资金计划提交付款申请经财务共享审批流程后生成机制付款凭证；对于到期的押金、安全保证金、履约保证金、质量保证金，由经办部门根据审核后资金计划提交退还供应商或客户缴纳的保证金，并上传外部单位出具到期退款函，经财务共享审批流程后生成退款机制凭证；合同预付款及零星报销，由经办部门根据审核后资金计划提交预付申请、通用报销，并上传合同、发票等资料，经财务共享审批流程后生成付款凭证。</w:t>
      </w:r>
    </w:p>
    <w:p w14:paraId="40685E2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第四十三条</w:t>
      </w:r>
      <w:r>
        <w:rPr>
          <w:rFonts w:hint="eastAsia" w:ascii="仿宋_GB2312" w:hAnsi="Times New Roman" w:eastAsia="仿宋_GB2312" w:cs="仿宋_GB2312"/>
          <w:color w:val="auto"/>
          <w:sz w:val="32"/>
          <w:szCs w:val="32"/>
          <w:lang w:bidi="ar"/>
        </w:rPr>
        <w:t xml:space="preserve"> 每月依据资金实际收支与资金计划，编制资金执行情况报告，按要求上报集团公司资产财务部。</w:t>
      </w:r>
    </w:p>
    <w:p w14:paraId="7EF1E1D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20724B8D">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第十章 可控性管理费用规定</w:t>
      </w:r>
    </w:p>
    <w:p w14:paraId="5BC934A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第四十四条</w:t>
      </w:r>
      <w:r>
        <w:rPr>
          <w:rFonts w:hint="eastAsia" w:ascii="仿宋_GB2312" w:hAnsi="Times New Roman" w:eastAsia="仿宋_GB2312" w:cs="仿宋_GB2312"/>
          <w:color w:val="auto"/>
          <w:sz w:val="32"/>
          <w:szCs w:val="32"/>
          <w:lang w:bidi="ar"/>
        </w:rPr>
        <w:t xml:space="preserve"> 为进一步规范可控性管理费用核算、标准，特对办公费、会议费、通讯费、工会经费、职教经费、党建经费做出如下规定。</w:t>
      </w:r>
    </w:p>
    <w:p w14:paraId="50F652CC">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第四十五条</w:t>
      </w:r>
      <w:r>
        <w:rPr>
          <w:rFonts w:hint="eastAsia" w:ascii="仿宋_GB2312" w:hAnsi="Times New Roman" w:eastAsia="仿宋_GB2312" w:cs="仿宋_GB2312"/>
          <w:color w:val="auto"/>
          <w:sz w:val="32"/>
          <w:szCs w:val="32"/>
          <w:lang w:bidi="ar"/>
        </w:rPr>
        <w:t xml:space="preserve"> 办公费</w:t>
      </w:r>
    </w:p>
    <w:p w14:paraId="14D32B5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楷体_GB2312" w:hAnsi="楷体_GB2312" w:eastAsia="楷体_GB2312" w:cs="楷体_GB2312"/>
          <w:color w:val="auto"/>
          <w:sz w:val="32"/>
          <w:szCs w:val="32"/>
          <w:lang w:bidi="ar"/>
        </w:rPr>
        <w:t>（一）办公用品范围</w:t>
      </w:r>
      <w:r>
        <w:rPr>
          <w:rFonts w:hint="eastAsia" w:ascii="楷体_GB2312" w:hAnsi="楷体_GB2312" w:eastAsia="楷体_GB2312" w:cs="楷体_GB2312"/>
          <w:color w:val="auto"/>
          <w:sz w:val="32"/>
          <w:szCs w:val="32"/>
          <w:lang w:eastAsia="zh-CN" w:bidi="ar"/>
        </w:rPr>
        <w:t>：</w:t>
      </w:r>
      <w:r>
        <w:rPr>
          <w:rFonts w:hint="eastAsia" w:ascii="仿宋_GB2312" w:hAnsi="Times New Roman" w:eastAsia="仿宋_GB2312" w:cs="仿宋_GB2312"/>
          <w:color w:val="auto"/>
          <w:sz w:val="32"/>
          <w:szCs w:val="32"/>
          <w:lang w:bidi="ar"/>
        </w:rPr>
        <w:t>1.普通办公用品，包含但不限于：正常办公需用的签字笔（芯）、圆珠笔（芯），胶水，胶带，笔记本、尺子、回形针、文件夹、文件袋、电池等低值易耗品；2.电脑耗材，包含但不</w:t>
      </w:r>
      <w:r>
        <w:rPr>
          <w:rFonts w:hint="eastAsia" w:ascii="仿宋_GB2312" w:hAnsi="Times New Roman" w:eastAsia="仿宋_GB2312" w:cs="仿宋_GB2312"/>
          <w:color w:val="auto"/>
          <w:sz w:val="32"/>
          <w:szCs w:val="32"/>
          <w:lang w:eastAsia="zh-CN" w:bidi="ar"/>
        </w:rPr>
        <w:t>限于</w:t>
      </w:r>
      <w:r>
        <w:rPr>
          <w:rFonts w:hint="eastAsia" w:ascii="仿宋_GB2312" w:hAnsi="Times New Roman" w:eastAsia="仿宋_GB2312" w:cs="仿宋_GB2312"/>
          <w:color w:val="auto"/>
          <w:sz w:val="32"/>
          <w:szCs w:val="32"/>
          <w:lang w:bidi="ar"/>
        </w:rPr>
        <w:t>：复印纸、打印纸、光盘、鼠标、鼠标垫、防辐射屏、电源盒、插座、电源线、数据线、网线、色带、硒鼓、墨盒、键盘、碳粉等；3.耐用办公用品，包含但不限于：办公桌、椅、沙发、资料柜、电风扇、保险柜、电话等；4.图书报刊杂志、印刷品，印刷品范围：长期固定使用的表格、合同文本；5.展示企业形象的名片、信封、信笺、纸袋、宣传单等；6.企业内部杂志、期刊等；7.组织会议活动需要的单页、笔记本、海报等；8.财务凭证等专业用品，有关学习培训资料（不含职教经费、党建经费列支部分）等。</w:t>
      </w:r>
    </w:p>
    <w:p w14:paraId="04314F5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color w:val="auto"/>
          <w:sz w:val="32"/>
          <w:szCs w:val="32"/>
          <w:lang w:bidi="ar"/>
        </w:rPr>
      </w:pPr>
      <w:r>
        <w:rPr>
          <w:rFonts w:hint="eastAsia" w:ascii="楷体_GB2312" w:hAnsi="楷体_GB2312" w:eastAsia="楷体_GB2312" w:cs="楷体_GB2312"/>
          <w:color w:val="auto"/>
          <w:sz w:val="32"/>
          <w:szCs w:val="32"/>
          <w:lang w:bidi="ar"/>
        </w:rPr>
        <w:t>（二）办公用品管理职责与流程</w:t>
      </w:r>
    </w:p>
    <w:p w14:paraId="72BC933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综合部负责各部门办公费定额核定、月度需求审核，报分管领导审议；审议通过后，由供应销售部统一采购，综合部负责办公用品验收、保管及发放。</w:t>
      </w:r>
    </w:p>
    <w:p w14:paraId="4767A48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color w:val="auto"/>
          <w:sz w:val="32"/>
          <w:szCs w:val="32"/>
          <w:lang w:bidi="ar"/>
        </w:rPr>
      </w:pPr>
      <w:r>
        <w:rPr>
          <w:rFonts w:hint="eastAsia" w:ascii="楷体_GB2312" w:hAnsi="楷体_GB2312" w:eastAsia="楷体_GB2312" w:cs="楷体_GB2312"/>
          <w:color w:val="auto"/>
          <w:sz w:val="32"/>
          <w:szCs w:val="32"/>
          <w:lang w:bidi="ar"/>
        </w:rPr>
        <w:t>（三）办公用品报销</w:t>
      </w:r>
    </w:p>
    <w:p w14:paraId="6E20A8D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报销需开具增值税专用发票，注明单位、品名、数量、单价、金额；汇总开票需附防伪税控系统出具的销售清单；销售采购部按季度报销办公费，报销时需提供发票、办公用品验收单及发放清单。</w:t>
      </w:r>
    </w:p>
    <w:p w14:paraId="75F9FDF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第四十六条</w:t>
      </w:r>
      <w:r>
        <w:rPr>
          <w:rFonts w:hint="eastAsia" w:ascii="仿宋_GB2312" w:hAnsi="Times New Roman" w:eastAsia="仿宋_GB2312" w:cs="仿宋_GB2312"/>
          <w:color w:val="auto"/>
          <w:sz w:val="32"/>
          <w:szCs w:val="32"/>
          <w:lang w:bidi="ar"/>
        </w:rPr>
        <w:t xml:space="preserve"> 会议费报销管理：参会人员报销会议费时，须提供会议通知（含参会回执）、发票、出差申请单、差旅按公司差旅费报销标准执行。</w:t>
      </w:r>
    </w:p>
    <w:p w14:paraId="1291FAF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 xml:space="preserve"> </w:t>
      </w:r>
      <w:r>
        <w:rPr>
          <w:rFonts w:hint="eastAsia" w:ascii="仿宋_GB2312" w:hAnsi="Times New Roman" w:eastAsia="仿宋_GB2312" w:cs="仿宋_GB2312"/>
          <w:color w:val="auto"/>
          <w:sz w:val="32"/>
          <w:szCs w:val="32"/>
          <w:lang w:val="en-US" w:eastAsia="zh-CN" w:bidi="ar"/>
        </w:rPr>
        <w:t>第四十七条</w:t>
      </w:r>
      <w:r>
        <w:rPr>
          <w:rFonts w:hint="eastAsia" w:ascii="仿宋_GB2312" w:hAnsi="Times New Roman" w:eastAsia="仿宋_GB2312" w:cs="仿宋_GB2312"/>
          <w:color w:val="auto"/>
          <w:sz w:val="32"/>
          <w:szCs w:val="32"/>
          <w:lang w:bidi="ar"/>
        </w:rPr>
        <w:t xml:space="preserve"> 移动通讯费报销管理：移动通讯费报销标准：正处级</w:t>
      </w:r>
      <w:r>
        <w:rPr>
          <w:rFonts w:hint="eastAsia" w:ascii="仿宋_GB2312" w:hAnsi="Times New Roman" w:eastAsia="仿宋_GB2312" w:cs="仿宋_GB2312"/>
          <w:color w:val="auto"/>
          <w:sz w:val="32"/>
          <w:szCs w:val="32"/>
          <w:lang w:val="en-US" w:eastAsia="zh-CN" w:bidi="ar"/>
        </w:rPr>
        <w:t>299</w:t>
      </w:r>
      <w:r>
        <w:rPr>
          <w:rFonts w:hint="eastAsia" w:ascii="仿宋_GB2312" w:hAnsi="Times New Roman" w:eastAsia="仿宋_GB2312" w:cs="仿宋_GB2312"/>
          <w:color w:val="auto"/>
          <w:sz w:val="32"/>
          <w:szCs w:val="32"/>
          <w:lang w:bidi="ar"/>
        </w:rPr>
        <w:t>元/月，副处级</w:t>
      </w:r>
      <w:r>
        <w:rPr>
          <w:rFonts w:hint="eastAsia" w:ascii="仿宋_GB2312" w:hAnsi="Times New Roman" w:eastAsia="仿宋_GB2312" w:cs="仿宋_GB2312"/>
          <w:color w:val="auto"/>
          <w:sz w:val="32"/>
          <w:szCs w:val="32"/>
          <w:lang w:val="en-US" w:eastAsia="zh-CN" w:bidi="ar"/>
        </w:rPr>
        <w:t>230</w:t>
      </w:r>
      <w:r>
        <w:rPr>
          <w:rFonts w:hint="eastAsia" w:ascii="仿宋_GB2312" w:hAnsi="Times New Roman" w:eastAsia="仿宋_GB2312" w:cs="仿宋_GB2312"/>
          <w:color w:val="auto"/>
          <w:sz w:val="32"/>
          <w:szCs w:val="32"/>
          <w:lang w:bidi="ar"/>
        </w:rPr>
        <w:t>元/月，小车班驾驶100元/月；综合部负责收集移动通讯费发票</w:t>
      </w:r>
      <w:r>
        <w:rPr>
          <w:rFonts w:hint="eastAsia" w:ascii="仿宋_GB2312" w:hAnsi="Times New Roman" w:eastAsia="仿宋_GB2312" w:cs="仿宋_GB2312"/>
          <w:color w:val="auto"/>
          <w:sz w:val="32"/>
          <w:szCs w:val="32"/>
          <w:lang w:eastAsia="zh-CN" w:bidi="ar"/>
        </w:rPr>
        <w:t>，在</w:t>
      </w:r>
      <w:r>
        <w:rPr>
          <w:rFonts w:hint="eastAsia" w:ascii="仿宋_GB2312" w:hAnsi="Times New Roman" w:eastAsia="仿宋_GB2312" w:cs="仿宋_GB2312"/>
          <w:color w:val="auto"/>
          <w:sz w:val="32"/>
          <w:szCs w:val="32"/>
          <w:lang w:bidi="ar"/>
        </w:rPr>
        <w:t>限额内据实按季度集中报销。</w:t>
      </w:r>
    </w:p>
    <w:p w14:paraId="05560C7C">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第四十八条</w:t>
      </w:r>
      <w:r>
        <w:rPr>
          <w:rFonts w:hint="eastAsia" w:ascii="仿宋_GB2312" w:hAnsi="Times New Roman" w:eastAsia="仿宋_GB2312" w:cs="仿宋_GB2312"/>
          <w:color w:val="auto"/>
          <w:sz w:val="32"/>
          <w:szCs w:val="32"/>
          <w:lang w:bidi="ar"/>
        </w:rPr>
        <w:t xml:space="preserve"> 职教经费管理</w:t>
      </w:r>
    </w:p>
    <w:p w14:paraId="5129A55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（一）依照集团公司文件规定职工教育经费按工资总额2%计提，用于各种形式的学习、培训支出，做到总额控制、专款专用。</w:t>
      </w:r>
    </w:p>
    <w:p w14:paraId="45B918E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（二）公司职工外出参加培训，报销培训费时需附培训通知（培训回执）、发票、出差申请单、差旅按公司差旅费报销标准执行。</w:t>
      </w:r>
    </w:p>
    <w:p w14:paraId="68FE34E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（三）内部授课人员报酬按集团公司规定标准执行；外聘高等院校、政府、企业等机构或人员来授课，其酬金按双方协议确定，外聘机构或人员须向公司提供正规发票。</w:t>
      </w:r>
    </w:p>
    <w:p w14:paraId="7B3F947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（四）安全监管部组织车间、部门人员开展外出培训、考试，相关费用报销时，需提供经安全监管部分管领导审核通过的培训、考核报告。</w:t>
      </w:r>
    </w:p>
    <w:p w14:paraId="512ECB28">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（五）公司开展职工教育购买的各种书籍，由责任部门采购并负责验收、发放、报销工作。</w:t>
      </w:r>
    </w:p>
    <w:p w14:paraId="0B348D2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第四十九条</w:t>
      </w:r>
      <w:r>
        <w:rPr>
          <w:rFonts w:hint="eastAsia" w:ascii="仿宋_GB2312" w:hAnsi="Times New Roman" w:eastAsia="仿宋_GB2312" w:cs="仿宋_GB2312"/>
          <w:color w:val="auto"/>
          <w:sz w:val="32"/>
          <w:szCs w:val="32"/>
          <w:lang w:bidi="ar"/>
        </w:rPr>
        <w:t xml:space="preserve"> 工会经费管理</w:t>
      </w:r>
    </w:p>
    <w:p w14:paraId="7A18FAC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w:t>
      </w:r>
      <w:bookmarkStart w:id="1" w:name="OLE_LINK2"/>
      <w:r>
        <w:rPr>
          <w:rFonts w:hint="eastAsia" w:ascii="仿宋_GB2312" w:hAnsi="Times New Roman" w:eastAsia="仿宋_GB2312" w:cs="仿宋_GB2312"/>
          <w:color w:val="auto"/>
          <w:sz w:val="32"/>
          <w:szCs w:val="32"/>
          <w:lang w:bidi="ar"/>
        </w:rPr>
        <w:t>根据《</w:t>
      </w:r>
      <w:r>
        <w:rPr>
          <w:rFonts w:hint="eastAsia" w:ascii="仿宋_GB2312" w:hAnsi="Times New Roman" w:eastAsia="仿宋_GB2312" w:cs="仿宋_GB2312"/>
          <w:color w:val="auto"/>
          <w:sz w:val="32"/>
          <w:szCs w:val="32"/>
          <w:lang w:eastAsia="zh-CN" w:bidi="ar"/>
        </w:rPr>
        <w:t>中华人民共和国工会法</w:t>
      </w:r>
      <w:r>
        <w:rPr>
          <w:rFonts w:hint="eastAsia" w:ascii="仿宋_GB2312" w:hAnsi="Times New Roman" w:eastAsia="仿宋_GB2312" w:cs="仿宋_GB2312"/>
          <w:color w:val="auto"/>
          <w:sz w:val="32"/>
          <w:szCs w:val="32"/>
          <w:lang w:bidi="ar"/>
        </w:rPr>
        <w:t>》及集团相关制度，工会经费按工资总额2%标准计提。公司工会取得营业执照后，按月计提的工会经费全额上缴当地工会，当地工会按文件规定下拨60%，用于公司工会开展各类活动的支出。</w:t>
      </w:r>
      <w:bookmarkEnd w:id="1"/>
    </w:p>
    <w:p w14:paraId="2B59485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（二）工会经费专项用于职工服务与工会活动开展，具体涵盖职工活动、维权、业务、资本性及其他支出，相关费用报销参照公司现行管理规定执行。</w:t>
      </w:r>
    </w:p>
    <w:p w14:paraId="1B38CCF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（三）公司工会取得营业执照后，工会开展各项活动取得发票的单位名称，应为营业执照登记的单位名称“鄂尔多斯市西北能源化工有限责任公司工会委员会”。</w:t>
      </w:r>
    </w:p>
    <w:p w14:paraId="6D1B91F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第五十条</w:t>
      </w:r>
      <w:r>
        <w:rPr>
          <w:rFonts w:hint="eastAsia" w:ascii="仿宋_GB2312" w:hAnsi="Times New Roman" w:eastAsia="仿宋_GB2312" w:cs="仿宋_GB2312"/>
          <w:color w:val="auto"/>
          <w:sz w:val="32"/>
          <w:szCs w:val="32"/>
          <w:lang w:bidi="ar"/>
        </w:rPr>
        <w:t xml:space="preserve"> 党建经费管理</w:t>
      </w:r>
    </w:p>
    <w:p w14:paraId="55BABA9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（一）按照集团公司文件规定，党建经费按上年工资总额0.8%计提。经费单独核算，专款专用。</w:t>
      </w:r>
    </w:p>
    <w:p w14:paraId="77943BC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（二）党组织工作经费必须用于公司各级党支部的建设，使用范围主要包括：</w:t>
      </w:r>
    </w:p>
    <w:p w14:paraId="0CC6C2E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1.开展党内学习教育，召开党内会议，开展党内主题学习教育实践活动、“三会一课”、党员活动日，培训党员、入党积极分子和党务工作者；订阅或购买开展党员教育培训的报刊、资料、音像制品和设备，进行党内宣传，摄制党员教育专题片。</w:t>
      </w:r>
    </w:p>
    <w:p w14:paraId="402FB79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2.组织开展创先争优、党员先锋岗、党员责任区、党员突击队、党员志愿服务等形式多样的主题实践活动和星级党支部创建评比表彰发生的费用。</w:t>
      </w:r>
    </w:p>
    <w:p w14:paraId="01A3D58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3.表彰先进基层党组织、优秀共产党员和优秀党务工作者。用于购买或制作荣誉证书、奖状、奖牌、奖品的费用，表彰大会会议资料和印刷费用，以及必要的现金奖励费用。</w:t>
      </w:r>
    </w:p>
    <w:p w14:paraId="05429D0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4.党组织换届、流动党员管理、组织关系接转、党旗党徽配备、党建工作调查研究产生的费用。</w:t>
      </w:r>
    </w:p>
    <w:p w14:paraId="678F670B">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5.走访、慰问、补助生活困难党员和老党员。包括用于对老党员、生活困难党员生活补助，以及发放慰问物品发生的费用。</w:t>
      </w:r>
    </w:p>
    <w:p w14:paraId="0370F13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6.修缮和维护党组织活动场所，购买活动设施，研发和维护党建工作信息化平台产生的费用。</w:t>
      </w:r>
    </w:p>
    <w:p w14:paraId="1EE37C6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7.其他与党的建设直接相关的工作发生的费用。</w:t>
      </w:r>
    </w:p>
    <w:p w14:paraId="1827C9E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（三）使用党建工作经费必须符合以上七项规定，不能随意扩大使用范围，不符合规定的一律不得支出。</w:t>
      </w:r>
    </w:p>
    <w:p w14:paraId="49790732">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4315DB10">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第十一章 公司对外基本信息及收款银行</w:t>
      </w:r>
    </w:p>
    <w:p w14:paraId="3881BCB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第五十一条</w:t>
      </w:r>
      <w:r>
        <w:rPr>
          <w:rFonts w:hint="eastAsia" w:ascii="仿宋_GB2312" w:hAnsi="Times New Roman" w:eastAsia="仿宋_GB2312" w:cs="仿宋_GB2312"/>
          <w:color w:val="auto"/>
          <w:sz w:val="32"/>
          <w:szCs w:val="32"/>
          <w:lang w:bidi="ar"/>
        </w:rPr>
        <w:t xml:space="preserve"> 开票信息</w:t>
      </w:r>
    </w:p>
    <w:p w14:paraId="6432AD3F">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名 称：鄂尔多斯市西北能源化工有限责任公司</w:t>
      </w:r>
    </w:p>
    <w:p w14:paraId="072D3D2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纳税人识别号：91150622776126807D</w:t>
      </w:r>
    </w:p>
    <w:p w14:paraId="6D8EDC6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地 址：内蒙古自治区鄂尔多斯市准格尔旗大路新区</w:t>
      </w:r>
    </w:p>
    <w:p w14:paraId="1CAA24DA">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电 话：</w:t>
      </w:r>
      <w:r>
        <w:rPr>
          <w:rFonts w:hint="eastAsia" w:ascii="仿宋_GB2312" w:hAnsi="Times New Roman" w:eastAsia="仿宋_GB2312" w:cs="仿宋_GB2312"/>
          <w:color w:val="auto"/>
          <w:sz w:val="32"/>
          <w:szCs w:val="32"/>
          <w:lang w:eastAsia="zh-CN" w:bidi="ar"/>
        </w:rPr>
        <w:t>0477-2274669</w:t>
      </w:r>
    </w:p>
    <w:p w14:paraId="465472F9">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开户行：中国工商银行准格尔煤田矿区支行</w:t>
      </w:r>
    </w:p>
    <w:p w14:paraId="30CB81A4">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账号：0612053009200074966</w:t>
      </w:r>
    </w:p>
    <w:p w14:paraId="0A39397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税务系统开具的发票，发票抬头开公司名称，全称为鄂尔多斯市西北能源化工有限责任公司，不能以个人姓名开具发票（租房发票除外），否则不予报销。</w:t>
      </w:r>
    </w:p>
    <w:p w14:paraId="505F19C5">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第五十二条</w:t>
      </w:r>
      <w:r>
        <w:rPr>
          <w:rFonts w:hint="eastAsia" w:ascii="仿宋_GB2312" w:hAnsi="Times New Roman" w:eastAsia="仿宋_GB2312" w:cs="仿宋_GB2312"/>
          <w:color w:val="auto"/>
          <w:sz w:val="32"/>
          <w:szCs w:val="32"/>
          <w:lang w:bidi="ar"/>
        </w:rPr>
        <w:t xml:space="preserve"> 收款信息</w:t>
      </w:r>
    </w:p>
    <w:p w14:paraId="6B6C7E98">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收款账号：</w:t>
      </w:r>
    </w:p>
    <w:p w14:paraId="3C4179D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开户行：中国银行股份有限公司宿州皖煤支行</w:t>
      </w:r>
    </w:p>
    <w:p w14:paraId="36ECFBD0">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账  号：188718829611</w:t>
      </w:r>
    </w:p>
    <w:p w14:paraId="3C851CF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行  号：104374000048</w:t>
      </w:r>
    </w:p>
    <w:p w14:paraId="59B46D9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收承兑账户：</w:t>
      </w:r>
    </w:p>
    <w:p w14:paraId="79DC44F7">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开户行：安徽省皖北煤电集团财务有限公司</w:t>
      </w:r>
    </w:p>
    <w:p w14:paraId="124EAA26">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eastAsia="zh-CN" w:bidi="ar"/>
        </w:rPr>
        <w:t>及账号</w:t>
      </w:r>
      <w:r>
        <w:rPr>
          <w:rFonts w:hint="eastAsia" w:ascii="仿宋_GB2312" w:hAnsi="Times New Roman" w:eastAsia="仿宋_GB2312" w:cs="仿宋_GB2312"/>
          <w:color w:val="auto"/>
          <w:sz w:val="32"/>
          <w:szCs w:val="32"/>
          <w:lang w:bidi="ar"/>
        </w:rPr>
        <w:t xml:space="preserve">：1010000700001 </w:t>
      </w:r>
    </w:p>
    <w:p w14:paraId="6EE2355D">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省份：安徽宿州市</w:t>
      </w:r>
    </w:p>
    <w:p w14:paraId="77262E83">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bidi="ar"/>
        </w:rPr>
        <w:t xml:space="preserve">开户行行别：财务公司  </w:t>
      </w:r>
    </w:p>
    <w:p w14:paraId="6006B812">
      <w:pPr>
        <w:widowControl/>
        <w:numPr>
          <w:ilvl w:val="0"/>
          <w:numId w:val="0"/>
        </w:numPr>
        <w:spacing w:line="520" w:lineRule="exact"/>
        <w:jc w:val="center"/>
        <w:rPr>
          <w:rFonts w:hint="eastAsia" w:ascii="黑体" w:hAnsi="黑体" w:eastAsia="黑体" w:cs="黑体"/>
          <w:sz w:val="32"/>
          <w:szCs w:val="32"/>
          <w:lang w:val="en-US" w:eastAsia="zh-CN"/>
        </w:rPr>
      </w:pPr>
    </w:p>
    <w:p w14:paraId="0ED35001">
      <w:pPr>
        <w:widowControl/>
        <w:numPr>
          <w:ilvl w:val="0"/>
          <w:numId w:val="0"/>
        </w:numPr>
        <w:spacing w:line="520" w:lineRule="exact"/>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第十二章 附则</w:t>
      </w:r>
    </w:p>
    <w:p w14:paraId="5BB0E5F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第五十三条</w:t>
      </w:r>
      <w:r>
        <w:rPr>
          <w:rFonts w:hint="eastAsia" w:ascii="仿宋_GB2312" w:hAnsi="Times New Roman" w:eastAsia="仿宋_GB2312" w:cs="仿宋_GB2312"/>
          <w:color w:val="auto"/>
          <w:sz w:val="32"/>
          <w:szCs w:val="32"/>
          <w:lang w:bidi="ar"/>
        </w:rPr>
        <w:t xml:space="preserve"> 本办法由公司财务部负责解释。</w:t>
      </w:r>
    </w:p>
    <w:p w14:paraId="2C723581">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r>
        <w:rPr>
          <w:rFonts w:hint="eastAsia" w:ascii="仿宋_GB2312" w:hAnsi="Times New Roman" w:eastAsia="仿宋_GB2312" w:cs="仿宋_GB2312"/>
          <w:color w:val="auto"/>
          <w:sz w:val="32"/>
          <w:szCs w:val="32"/>
          <w:lang w:val="en-US" w:eastAsia="zh-CN" w:bidi="ar"/>
        </w:rPr>
        <w:t>第五十四条</w:t>
      </w:r>
      <w:r>
        <w:rPr>
          <w:rFonts w:hint="eastAsia" w:ascii="仿宋_GB2312" w:hAnsi="Times New Roman" w:eastAsia="仿宋_GB2312" w:cs="仿宋_GB2312"/>
          <w:color w:val="auto"/>
          <w:sz w:val="32"/>
          <w:szCs w:val="32"/>
          <w:lang w:bidi="ar"/>
        </w:rPr>
        <w:t xml:space="preserve"> 本办法自印发之日起施行，原西北能化经营〔2025〕2号西北能化公司2025年经营管理与监督考核实施意见中附件7《财务管理办法》同时废止。</w:t>
      </w:r>
    </w:p>
    <w:p w14:paraId="347B5F5E">
      <w:pPr>
        <w:pStyle w:val="19"/>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Times New Roman" w:eastAsia="仿宋_GB2312" w:cs="仿宋_GB2312"/>
          <w:color w:val="auto"/>
          <w:sz w:val="32"/>
          <w:szCs w:val="32"/>
          <w:lang w:bidi="ar"/>
        </w:rPr>
      </w:pPr>
    </w:p>
    <w:p w14:paraId="7C067A41">
      <w:pPr>
        <w:spacing w:line="520" w:lineRule="exact"/>
        <w:ind w:right="-197" w:rightChars="-94"/>
        <w:jc w:val="left"/>
        <w:rPr>
          <w:rFonts w:ascii="仿宋_GB2312" w:eastAsia="仿宋_GB2312"/>
          <w:sz w:val="32"/>
          <w:szCs w:val="32"/>
        </w:rPr>
      </w:pPr>
    </w:p>
    <w:p w14:paraId="1F8CF90A">
      <w:pPr>
        <w:spacing w:line="520" w:lineRule="exact"/>
        <w:ind w:right="-197" w:rightChars="-94"/>
        <w:jc w:val="left"/>
        <w:rPr>
          <w:rFonts w:ascii="仿宋_GB2312" w:eastAsia="仿宋_GB2312"/>
          <w:sz w:val="32"/>
          <w:szCs w:val="32"/>
        </w:rPr>
      </w:pPr>
    </w:p>
    <w:p w14:paraId="7E3ABDFC">
      <w:pPr>
        <w:spacing w:line="520" w:lineRule="exact"/>
        <w:ind w:right="-197" w:rightChars="-94"/>
        <w:jc w:val="left"/>
        <w:rPr>
          <w:rFonts w:ascii="仿宋_GB2312" w:eastAsia="仿宋_GB2312"/>
          <w:sz w:val="32"/>
          <w:szCs w:val="32"/>
        </w:rPr>
      </w:pPr>
    </w:p>
    <w:p w14:paraId="2E976615">
      <w:pPr>
        <w:spacing w:line="520" w:lineRule="exact"/>
        <w:ind w:right="-197" w:rightChars="-94"/>
        <w:jc w:val="left"/>
        <w:rPr>
          <w:rFonts w:ascii="仿宋_GB2312" w:eastAsia="仿宋_GB2312"/>
          <w:sz w:val="32"/>
          <w:szCs w:val="32"/>
        </w:rPr>
      </w:pPr>
    </w:p>
    <w:p w14:paraId="0133FF16">
      <w:pPr>
        <w:spacing w:line="520" w:lineRule="exact"/>
        <w:rPr>
          <w:rFonts w:hint="eastAsia" w:ascii="仿宋_GB2312" w:hAnsi="宋体" w:eastAsia="仿宋_GB2312" w:cs="仿宋_GB2312"/>
          <w:bCs/>
          <w:sz w:val="32"/>
          <w:szCs w:val="32"/>
        </w:rPr>
      </w:pPr>
    </w:p>
    <w:p w14:paraId="42CD9F19">
      <w:pPr>
        <w:spacing w:line="520" w:lineRule="exact"/>
        <w:rPr>
          <w:rFonts w:hint="eastAsia" w:ascii="仿宋_GB2312" w:hAnsi="宋体" w:eastAsia="仿宋_GB2312" w:cs="仿宋_GB2312"/>
          <w:bCs/>
          <w:sz w:val="32"/>
          <w:szCs w:val="32"/>
        </w:rPr>
      </w:pPr>
    </w:p>
    <w:p w14:paraId="655D4D16">
      <w:pPr>
        <w:spacing w:line="520" w:lineRule="exact"/>
        <w:rPr>
          <w:rFonts w:hint="eastAsia" w:ascii="仿宋_GB2312" w:hAnsi="宋体" w:eastAsia="仿宋_GB2312" w:cs="仿宋_GB2312"/>
          <w:bCs/>
          <w:sz w:val="32"/>
          <w:szCs w:val="32"/>
        </w:rPr>
      </w:pPr>
    </w:p>
    <w:p w14:paraId="4763237A">
      <w:pPr>
        <w:spacing w:line="520" w:lineRule="exact"/>
        <w:rPr>
          <w:rFonts w:hint="eastAsia" w:ascii="仿宋_GB2312" w:hAnsi="宋体" w:eastAsia="仿宋_GB2312" w:cs="仿宋_GB2312"/>
          <w:bCs/>
          <w:sz w:val="32"/>
          <w:szCs w:val="32"/>
        </w:rPr>
      </w:pPr>
    </w:p>
    <w:p w14:paraId="4154DB08">
      <w:pPr>
        <w:spacing w:line="520" w:lineRule="exact"/>
        <w:rPr>
          <w:rFonts w:hint="eastAsia" w:ascii="仿宋_GB2312" w:hAnsi="宋体" w:eastAsia="仿宋_GB2312" w:cs="仿宋_GB2312"/>
          <w:bCs/>
          <w:sz w:val="32"/>
          <w:szCs w:val="32"/>
        </w:rPr>
      </w:pPr>
    </w:p>
    <w:p w14:paraId="6F63A855">
      <w:pPr>
        <w:spacing w:line="520" w:lineRule="exact"/>
        <w:rPr>
          <w:rFonts w:hint="eastAsia" w:ascii="仿宋_GB2312" w:hAnsi="宋体" w:eastAsia="仿宋_GB2312" w:cs="仿宋_GB2312"/>
          <w:bCs/>
          <w:sz w:val="32"/>
          <w:szCs w:val="32"/>
        </w:rPr>
      </w:pPr>
    </w:p>
    <w:p w14:paraId="5D3DAA55">
      <w:pPr>
        <w:spacing w:line="520" w:lineRule="exact"/>
        <w:rPr>
          <w:rFonts w:hint="eastAsia" w:ascii="仿宋_GB2312" w:hAnsi="宋体" w:eastAsia="仿宋_GB2312" w:cs="仿宋_GB2312"/>
          <w:bCs/>
          <w:sz w:val="32"/>
          <w:szCs w:val="32"/>
        </w:rPr>
      </w:pPr>
    </w:p>
    <w:p w14:paraId="299953BA">
      <w:pPr>
        <w:spacing w:line="520" w:lineRule="exact"/>
        <w:rPr>
          <w:rFonts w:hint="eastAsia" w:ascii="仿宋_GB2312" w:hAnsi="宋体" w:eastAsia="仿宋_GB2312" w:cs="仿宋_GB2312"/>
          <w:bCs/>
          <w:sz w:val="32"/>
          <w:szCs w:val="32"/>
        </w:rPr>
      </w:pPr>
    </w:p>
    <w:p w14:paraId="71FE6B01">
      <w:pPr>
        <w:spacing w:line="520" w:lineRule="exact"/>
        <w:rPr>
          <w:rFonts w:hint="eastAsia" w:ascii="仿宋_GB2312" w:hAnsi="宋体" w:eastAsia="仿宋_GB2312" w:cs="仿宋_GB2312"/>
          <w:bCs/>
          <w:sz w:val="32"/>
          <w:szCs w:val="32"/>
        </w:rPr>
      </w:pPr>
    </w:p>
    <w:p w14:paraId="39EBB5D5">
      <w:pPr>
        <w:spacing w:line="520" w:lineRule="exact"/>
        <w:ind w:right="-197" w:rightChars="-94"/>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附件5</w:t>
      </w:r>
    </w:p>
    <w:p w14:paraId="6C333695">
      <w:pPr>
        <w:spacing w:line="520" w:lineRule="exact"/>
        <w:ind w:right="-197" w:rightChars="-94"/>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2026年应收款项管理办法</w:t>
      </w:r>
    </w:p>
    <w:p w14:paraId="03C1E5F9">
      <w:pPr>
        <w:pStyle w:val="14"/>
      </w:pPr>
    </w:p>
    <w:p w14:paraId="40A02E0A">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第一条 </w:t>
      </w:r>
      <w:r>
        <w:rPr>
          <w:rFonts w:hint="eastAsia" w:ascii="仿宋_GB2312" w:eastAsia="仿宋_GB2312" w:cs="仿宋_GB2312"/>
          <w:sz w:val="32"/>
          <w:szCs w:val="32"/>
          <w:lang w:bidi="ar"/>
        </w:rPr>
        <w:t>为加强企业内部控制，规范应收款项管理，保障资金正常周转，防范资金风险，提高资金使用效率，根据集团公司应收款项管理办法规定，结合公司实际情况，制定本办法。</w:t>
      </w:r>
    </w:p>
    <w:p w14:paraId="5C131265">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第二条 </w:t>
      </w:r>
      <w:r>
        <w:rPr>
          <w:rFonts w:hint="eastAsia" w:ascii="仿宋_GB2312" w:eastAsia="仿宋_GB2312" w:cs="仿宋_GB2312"/>
          <w:sz w:val="32"/>
          <w:szCs w:val="32"/>
          <w:lang w:bidi="ar"/>
        </w:rPr>
        <w:t>成立应收款项领导小组</w:t>
      </w:r>
    </w:p>
    <w:p w14:paraId="6839299D">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组  长：党委书记/董事长</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bidi="ar"/>
        </w:rPr>
        <w:t>副总经理（主持工作）</w:t>
      </w:r>
    </w:p>
    <w:p w14:paraId="73FE48DE">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副组长：党委副书记/纪委书记、副总经理、总工程师</w:t>
      </w:r>
    </w:p>
    <w:p w14:paraId="7D3E6EDF">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成  员：副总师、经管物资部、销售采购部、人力资源部、综合部、生产技术部、设备管理部、安全监管部、调度指挥中心、财务部</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bidi="ar"/>
        </w:rPr>
        <w:t>纪委</w:t>
      </w:r>
    </w:p>
    <w:p w14:paraId="5F305586">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领导小组下设办公室，办公室设在财务部。</w:t>
      </w:r>
    </w:p>
    <w:p w14:paraId="5C4DE0E7">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第三条 </w:t>
      </w:r>
      <w:r>
        <w:rPr>
          <w:rFonts w:hint="eastAsia" w:ascii="仿宋_GB2312" w:eastAsia="仿宋_GB2312" w:cs="仿宋_GB2312"/>
          <w:sz w:val="32"/>
          <w:szCs w:val="32"/>
          <w:lang w:bidi="ar"/>
        </w:rPr>
        <w:t>职责分工</w:t>
      </w:r>
    </w:p>
    <w:p w14:paraId="32B9D4FC">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（一）应收款项领导小组主要职责：负责审议应收款项管理办法，监督、指导应收款项管理工作。</w:t>
      </w:r>
    </w:p>
    <w:p w14:paraId="1E2CA3F0">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（二）办公室职责主要职责：负责应收款项管理办法制定；统筹应收款项的管理工作；对逾期应收款项进行催收。</w:t>
      </w:r>
    </w:p>
    <w:p w14:paraId="3199E03E">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第四条 </w:t>
      </w:r>
      <w:r>
        <w:rPr>
          <w:rFonts w:hint="eastAsia" w:ascii="仿宋_GB2312" w:eastAsia="仿宋_GB2312" w:cs="仿宋_GB2312"/>
          <w:sz w:val="32"/>
          <w:szCs w:val="32"/>
          <w:lang w:bidi="ar"/>
        </w:rPr>
        <w:t>本办法所称</w:t>
      </w:r>
      <w:bookmarkStart w:id="2" w:name="OLE_LINK3"/>
      <w:r>
        <w:rPr>
          <w:rFonts w:hint="eastAsia" w:ascii="仿宋_GB2312" w:eastAsia="仿宋_GB2312" w:cs="仿宋_GB2312"/>
          <w:sz w:val="32"/>
          <w:szCs w:val="32"/>
          <w:lang w:bidi="ar"/>
        </w:rPr>
        <w:t>应收款项</w:t>
      </w:r>
      <w:bookmarkEnd w:id="2"/>
      <w:r>
        <w:rPr>
          <w:rFonts w:hint="eastAsia" w:ascii="仿宋_GB2312" w:eastAsia="仿宋_GB2312" w:cs="仿宋_GB2312"/>
          <w:sz w:val="32"/>
          <w:szCs w:val="32"/>
          <w:lang w:bidi="ar"/>
        </w:rPr>
        <w:t>，包括应收账款、应收票据、其他应收款（含备用金）、预付账款。</w:t>
      </w:r>
    </w:p>
    <w:p w14:paraId="773C6AE2">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第五条 财务部作为应收票据管理的责任部门，负责企业应收票据的全周期管理工作。为确保应收票据信息完整可追溯、管理流程合规有序，应收票据台账需详细记录以下核心要素：票据编号、票据种类、票据号码、出票日期、到期日期、出票人名称、出票人账号、出票人开户行、收款人名称、收款人账号、收款人开户行及背书人信息，实现票据信息的系统化、精细化管控。同时，应收票据的收取、保管、使用等全流程操作，须严格遵循《皖北煤电集团公司资金管理办法（修订）》（皖北煤电财务〔2023〕74号）文件，确保票据业务符合集团资金管理要求。</w:t>
      </w:r>
    </w:p>
    <w:p w14:paraId="63DD616D">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第六条 </w:t>
      </w:r>
      <w:r>
        <w:rPr>
          <w:rFonts w:hint="eastAsia" w:ascii="仿宋_GB2312" w:eastAsia="仿宋_GB2312" w:cs="仿宋_GB2312"/>
          <w:sz w:val="32"/>
          <w:szCs w:val="32"/>
          <w:lang w:bidi="ar"/>
        </w:rPr>
        <w:t>应收款项对账管理。集团公司内子分公司的应收款项，应严格按照内部往来管理要求，及时挂账，每季度完成对账，年末确保各方账务完全一致，杜绝单方挂账；对于外委单位的应收款项，年末财务部应及时梳理出应收款项明细并移交业务部门，由业务部门邮寄对账函；业务部门收回对账函后立即反馈财务部，归档保存。</w:t>
      </w:r>
    </w:p>
    <w:p w14:paraId="3EEF8038">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第七条 </w:t>
      </w:r>
      <w:r>
        <w:rPr>
          <w:rFonts w:hint="eastAsia" w:ascii="仿宋_GB2312" w:eastAsia="仿宋_GB2312" w:cs="仿宋_GB2312"/>
          <w:sz w:val="32"/>
          <w:szCs w:val="32"/>
          <w:lang w:bidi="ar"/>
        </w:rPr>
        <w:t>应收款项管理原则：为明确管理责任，应收款项管理严格遵循“谁经办，谁负责”核心原则，确保经办行为与责任直接挂钩，保障管理流程可追溯、责任可落实。</w:t>
      </w:r>
    </w:p>
    <w:p w14:paraId="0516B439">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第八条 </w:t>
      </w:r>
      <w:r>
        <w:rPr>
          <w:rFonts w:hint="eastAsia" w:ascii="仿宋_GB2312" w:eastAsia="仿宋_GB2312" w:cs="仿宋_GB2312"/>
          <w:sz w:val="32"/>
          <w:szCs w:val="32"/>
          <w:lang w:bidi="ar"/>
        </w:rPr>
        <w:t>经办人员岗位调整或离职时，须完成所经办应收款项交接；未办结交接手续的，人力资源部不得为其办理转岗或离职相关流程。</w:t>
      </w:r>
    </w:p>
    <w:p w14:paraId="530C93F2">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第九条 </w:t>
      </w:r>
      <w:r>
        <w:rPr>
          <w:rFonts w:hint="eastAsia" w:ascii="仿宋_GB2312" w:eastAsia="仿宋_GB2312" w:cs="仿宋_GB2312"/>
          <w:sz w:val="32"/>
          <w:szCs w:val="32"/>
          <w:lang w:bidi="ar"/>
        </w:rPr>
        <w:t>为降低预付款坏账风险，公司需强化合同预付款源头审查。预付款适用范围包括：单一来源采购及维修、进口/非标货物采购、紧急物资采购、柴油及钢材采购、生产周期超1个月的货物采购、施工周期超1个月的工程项目。</w:t>
      </w:r>
      <w:bookmarkStart w:id="3" w:name="OLE_LINK8"/>
      <w:r>
        <w:rPr>
          <w:rFonts w:hint="eastAsia" w:ascii="仿宋_GB2312" w:eastAsia="仿宋_GB2312" w:cs="仿宋_GB2312"/>
          <w:sz w:val="32"/>
          <w:szCs w:val="32"/>
          <w:lang w:bidi="ar"/>
        </w:rPr>
        <w:t>对30万元以上预付合同，首次预付款比例通常不</w:t>
      </w:r>
      <w:r>
        <w:rPr>
          <w:rFonts w:hint="eastAsia" w:ascii="仿宋_GB2312" w:eastAsia="仿宋_GB2312" w:cs="仿宋_GB2312"/>
          <w:sz w:val="32"/>
          <w:szCs w:val="32"/>
          <w:lang w:eastAsia="zh-CN" w:bidi="ar"/>
        </w:rPr>
        <w:t>超过</w:t>
      </w:r>
      <w:r>
        <w:rPr>
          <w:rFonts w:hint="eastAsia" w:ascii="仿宋_GB2312" w:eastAsia="仿宋_GB2312" w:cs="仿宋_GB2312"/>
          <w:sz w:val="32"/>
          <w:szCs w:val="32"/>
          <w:lang w:bidi="ar"/>
        </w:rPr>
        <w:t>合同总额30%；一般需附履约条款，且履约保证金通常不低于合同总额10%。</w:t>
      </w:r>
      <w:bookmarkEnd w:id="3"/>
    </w:p>
    <w:p w14:paraId="24948F52">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第十条 </w:t>
      </w:r>
      <w:r>
        <w:rPr>
          <w:rFonts w:hint="eastAsia" w:ascii="仿宋_GB2312" w:eastAsia="仿宋_GB2312" w:cs="仿宋_GB2312"/>
          <w:sz w:val="32"/>
          <w:szCs w:val="32"/>
          <w:lang w:bidi="ar"/>
        </w:rPr>
        <w:t>财务部应建立应收款项台账，明确责任人员、结算时间。</w:t>
      </w:r>
    </w:p>
    <w:p w14:paraId="724AFF8C">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（一）合同预付款，经办人员需填写经办人姓名、部门、付款时间，合同名称、供货单位、合同金额、预付金额、备货周期、服务周期、结算时间。</w:t>
      </w:r>
    </w:p>
    <w:p w14:paraId="423A97FE">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（二）支付临时备用金，经办人员需填写经办人姓名、部门、付款时间、借款事由、冲账时间。</w:t>
      </w:r>
    </w:p>
    <w:p w14:paraId="5CE5C81C">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第十一条 </w:t>
      </w:r>
      <w:r>
        <w:rPr>
          <w:rFonts w:hint="eastAsia" w:ascii="仿宋_GB2312" w:eastAsia="仿宋_GB2312" w:cs="仿宋_GB2312"/>
          <w:sz w:val="32"/>
          <w:szCs w:val="32"/>
          <w:lang w:bidi="ar"/>
        </w:rPr>
        <w:t>财务部需于每月月底，根据应收款项到期实际情况，发布次月应收款项清欠任务。</w:t>
      </w:r>
    </w:p>
    <w:p w14:paraId="763AB608">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第十二条 </w:t>
      </w:r>
      <w:r>
        <w:rPr>
          <w:rFonts w:hint="eastAsia" w:ascii="仿宋_GB2312" w:eastAsia="仿宋_GB2312" w:cs="仿宋_GB2312"/>
          <w:sz w:val="32"/>
          <w:szCs w:val="32"/>
          <w:lang w:bidi="ar"/>
        </w:rPr>
        <w:t>为加快已支付预付款的结算进度，特制定如下规定：</w:t>
      </w:r>
    </w:p>
    <w:p w14:paraId="45664545">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一）采购、服务类预付款，原则上3个月内完成结算；采购合同备货周期超1个月的，从发货日起3个月内完成结算；服务合同服务周期超1个月的，从服务结束日起3个月内完成结算。特殊情况未按时结算的，需由经办人员报原因说明及结算时间，经部门负责人、分管领导审核后报财务备案，方可延迟。</w:t>
      </w:r>
    </w:p>
    <w:p w14:paraId="7F7C4559">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（二）工程类预付款，从支付给承包单位的工程进度款中直接扣减。</w:t>
      </w:r>
    </w:p>
    <w:p w14:paraId="5D7D6D01">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（三）备用金管理，执行公司《财务管理办法》第六章备用金管理相关规定。</w:t>
      </w:r>
    </w:p>
    <w:p w14:paraId="2FCB9B00">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第十三条 </w:t>
      </w:r>
      <w:r>
        <w:rPr>
          <w:rFonts w:hint="eastAsia" w:ascii="仿宋_GB2312" w:eastAsia="仿宋_GB2312" w:cs="仿宋_GB2312"/>
          <w:sz w:val="32"/>
          <w:szCs w:val="32"/>
          <w:lang w:bidi="ar"/>
        </w:rPr>
        <w:t>公司对逾期应收款项纳入预警监控管理，预警款项认定标准：一般预警：账龄6</w:t>
      </w:r>
      <w:r>
        <w:rPr>
          <w:rFonts w:hint="eastAsia" w:ascii="仿宋_GB2312" w:eastAsia="仿宋_GB2312" w:cs="仿宋_GB2312"/>
          <w:sz w:val="32"/>
          <w:szCs w:val="32"/>
          <w:lang w:bidi="ar"/>
        </w:rPr>
        <w:t>个月以上至1</w:t>
      </w:r>
      <w:r>
        <w:rPr>
          <w:rFonts w:hint="eastAsia" w:ascii="仿宋_GB2312" w:eastAsia="仿宋_GB2312" w:cs="仿宋_GB2312"/>
          <w:sz w:val="32"/>
          <w:szCs w:val="32"/>
          <w:lang w:bidi="ar"/>
        </w:rPr>
        <w:t>年以内应收款项；红色预警：账龄1</w:t>
      </w:r>
      <w:r>
        <w:rPr>
          <w:rFonts w:hint="eastAsia" w:ascii="仿宋_GB2312" w:eastAsia="仿宋_GB2312" w:cs="仿宋_GB2312"/>
          <w:sz w:val="32"/>
          <w:szCs w:val="32"/>
          <w:lang w:bidi="ar"/>
        </w:rPr>
        <w:t>年</w:t>
      </w:r>
      <w:r>
        <w:rPr>
          <w:rFonts w:hint="eastAsia" w:ascii="仿宋_GB2312" w:eastAsia="仿宋_GB2312" w:cs="仿宋_GB2312"/>
          <w:sz w:val="32"/>
          <w:szCs w:val="32"/>
          <w:lang w:eastAsia="zh-CN" w:bidi="ar"/>
        </w:rPr>
        <w:t>以上</w:t>
      </w:r>
      <w:r>
        <w:rPr>
          <w:rFonts w:hint="eastAsia" w:ascii="仿宋_GB2312" w:eastAsia="仿宋_GB2312" w:cs="仿宋_GB2312"/>
          <w:sz w:val="32"/>
          <w:szCs w:val="32"/>
          <w:lang w:bidi="ar"/>
        </w:rPr>
        <w:t xml:space="preserve">应收款项；对纳入预警范围内的应收款项建立预警台账，定期对照认定标准，调整预警款项等级。制定有针对性的清收方案，明确责任人和清收时限，全流程跟踪回款直至解除预警。 </w:t>
      </w:r>
    </w:p>
    <w:p w14:paraId="31062E76">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第十四条 </w:t>
      </w:r>
      <w:r>
        <w:rPr>
          <w:rFonts w:hint="eastAsia" w:ascii="仿宋_GB2312" w:eastAsia="仿宋_GB2312" w:cs="仿宋_GB2312"/>
          <w:sz w:val="32"/>
          <w:szCs w:val="32"/>
          <w:lang w:bidi="ar"/>
        </w:rPr>
        <w:t>对集团下达年度清欠任务的应收款项，应收款项领导小组要组织开展专题会，压实责任。确保年度内完成集团公司下达的应收款项清欠任务。</w:t>
      </w:r>
    </w:p>
    <w:p w14:paraId="55312814">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第十五条 </w:t>
      </w:r>
      <w:r>
        <w:rPr>
          <w:rFonts w:hint="eastAsia" w:ascii="仿宋_GB2312" w:eastAsia="仿宋_GB2312" w:cs="仿宋_GB2312"/>
          <w:sz w:val="32"/>
          <w:szCs w:val="32"/>
          <w:lang w:bidi="ar"/>
        </w:rPr>
        <w:t>责任追究</w:t>
      </w:r>
    </w:p>
    <w:p w14:paraId="59DB5E7B">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（一）采购、服务类预付款，经办人员未按时结算且未报原因说明的，需承担责任：首月每笔扣绩效100元，次月起每笔扣200元，以此类推。</w:t>
      </w:r>
    </w:p>
    <w:p w14:paraId="4FC47F02">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（二）逾期</w:t>
      </w:r>
      <w:r>
        <w:rPr>
          <w:rFonts w:hint="eastAsia" w:ascii="仿宋_GB2312" w:eastAsia="仿宋_GB2312" w:cs="仿宋_GB2312"/>
          <w:sz w:val="32"/>
          <w:szCs w:val="32"/>
          <w:lang w:eastAsia="zh-CN" w:bidi="ar"/>
        </w:rPr>
        <w:t>超过</w:t>
      </w:r>
      <w:r>
        <w:rPr>
          <w:rFonts w:hint="eastAsia" w:ascii="仿宋_GB2312" w:eastAsia="仿宋_GB2312" w:cs="仿宋_GB2312"/>
          <w:sz w:val="32"/>
          <w:szCs w:val="32"/>
          <w:lang w:bidi="ar"/>
        </w:rPr>
        <w:t>一年、无确切结算时间且实质无法收回的长期预付款，损失由责任部门承担并从其绩效考核中扣除，同时</w:t>
      </w:r>
      <w:r>
        <w:rPr>
          <w:rFonts w:hint="eastAsia" w:ascii="仿宋_GB2312" w:eastAsia="仿宋_GB2312" w:cs="仿宋_GB2312"/>
          <w:sz w:val="32"/>
          <w:szCs w:val="32"/>
          <w:lang w:eastAsia="zh-CN" w:bidi="ar"/>
        </w:rPr>
        <w:t>扣除</w:t>
      </w:r>
      <w:r>
        <w:rPr>
          <w:rFonts w:hint="eastAsia" w:ascii="仿宋_GB2312" w:eastAsia="仿宋_GB2312" w:cs="仿宋_GB2312"/>
          <w:sz w:val="32"/>
          <w:szCs w:val="32"/>
          <w:lang w:bidi="ar"/>
        </w:rPr>
        <w:t>责任部门负责人及经办人员绩效各500元。</w:t>
      </w:r>
    </w:p>
    <w:p w14:paraId="40493FE6">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第十六条 </w:t>
      </w:r>
      <w:r>
        <w:rPr>
          <w:rFonts w:hint="eastAsia" w:ascii="仿宋_GB2312" w:eastAsia="仿宋_GB2312" w:cs="仿宋_GB2312"/>
          <w:sz w:val="32"/>
          <w:szCs w:val="32"/>
          <w:lang w:bidi="ar"/>
        </w:rPr>
        <w:t>本办法自印发之日起施行，原西北能化经营〔2025〕2号西北能化公司2025年经营管理与监督考核实施意见中附件8《应收款项管理办法》同时废止。</w:t>
      </w:r>
    </w:p>
    <w:p w14:paraId="55254208">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s="仿宋_GB2312"/>
          <w:sz w:val="32"/>
          <w:szCs w:val="32"/>
          <w:lang w:bidi="ar"/>
        </w:rPr>
      </w:pPr>
    </w:p>
    <w:p w14:paraId="116300D4">
      <w:pPr>
        <w:spacing w:line="520" w:lineRule="exact"/>
        <w:ind w:right="-197" w:rightChars="-94"/>
        <w:jc w:val="left"/>
        <w:rPr>
          <w:rFonts w:ascii="仿宋_GB2312" w:eastAsia="仿宋_GB2312"/>
          <w:sz w:val="32"/>
          <w:szCs w:val="32"/>
        </w:rPr>
      </w:pPr>
    </w:p>
    <w:p w14:paraId="1E238947">
      <w:pPr>
        <w:spacing w:line="520" w:lineRule="exact"/>
        <w:ind w:right="-197" w:rightChars="-94"/>
        <w:jc w:val="left"/>
        <w:rPr>
          <w:rFonts w:ascii="仿宋_GB2312" w:eastAsia="仿宋_GB2312"/>
          <w:sz w:val="32"/>
          <w:szCs w:val="32"/>
        </w:rPr>
      </w:pPr>
    </w:p>
    <w:p w14:paraId="54562E7A">
      <w:pPr>
        <w:spacing w:line="520" w:lineRule="exact"/>
        <w:ind w:right="-197" w:rightChars="-94"/>
        <w:jc w:val="left"/>
        <w:rPr>
          <w:rFonts w:ascii="仿宋_GB2312" w:eastAsia="仿宋_GB2312"/>
          <w:sz w:val="32"/>
          <w:szCs w:val="32"/>
        </w:rPr>
      </w:pPr>
    </w:p>
    <w:p w14:paraId="0941D551">
      <w:pPr>
        <w:pStyle w:val="14"/>
        <w:spacing w:line="520" w:lineRule="exact"/>
        <w:ind w:firstLine="640"/>
        <w:rPr>
          <w:rFonts w:ascii="仿宋_GB2312" w:eastAsia="仿宋_GB2312"/>
          <w:sz w:val="32"/>
          <w:szCs w:val="32"/>
        </w:rPr>
      </w:pPr>
    </w:p>
    <w:p w14:paraId="3DA1337B">
      <w:pPr>
        <w:pStyle w:val="16"/>
        <w:spacing w:line="520" w:lineRule="exact"/>
        <w:ind w:firstLine="320"/>
        <w:rPr>
          <w:rFonts w:ascii="仿宋_GB2312" w:eastAsia="仿宋_GB2312"/>
          <w:sz w:val="32"/>
          <w:szCs w:val="32"/>
        </w:rPr>
      </w:pPr>
    </w:p>
    <w:p w14:paraId="6C40D238">
      <w:pPr>
        <w:spacing w:line="520" w:lineRule="exact"/>
        <w:rPr>
          <w:sz w:val="32"/>
          <w:szCs w:val="32"/>
        </w:rPr>
      </w:pPr>
    </w:p>
    <w:p w14:paraId="0DCD94B3">
      <w:pPr>
        <w:spacing w:line="520" w:lineRule="exact"/>
        <w:ind w:right="-197" w:rightChars="-94"/>
        <w:jc w:val="left"/>
        <w:rPr>
          <w:rFonts w:ascii="仿宋_GB2312" w:eastAsia="仿宋_GB2312"/>
          <w:sz w:val="32"/>
          <w:szCs w:val="32"/>
        </w:rPr>
      </w:pPr>
    </w:p>
    <w:p w14:paraId="22CE4F4D">
      <w:pPr>
        <w:spacing w:line="520" w:lineRule="exact"/>
        <w:ind w:right="-197" w:rightChars="-94"/>
        <w:jc w:val="left"/>
        <w:rPr>
          <w:rFonts w:ascii="仿宋_GB2312" w:eastAsia="仿宋_GB2312"/>
          <w:sz w:val="32"/>
          <w:szCs w:val="32"/>
        </w:rPr>
      </w:pPr>
    </w:p>
    <w:p w14:paraId="5FC50042">
      <w:pPr>
        <w:spacing w:line="520" w:lineRule="exact"/>
        <w:ind w:right="-197" w:rightChars="-94"/>
        <w:jc w:val="left"/>
        <w:rPr>
          <w:rFonts w:ascii="仿宋_GB2312" w:eastAsia="仿宋_GB2312"/>
          <w:sz w:val="32"/>
          <w:szCs w:val="32"/>
        </w:rPr>
      </w:pPr>
    </w:p>
    <w:p w14:paraId="23A7C22A">
      <w:pPr>
        <w:spacing w:line="520" w:lineRule="exact"/>
        <w:ind w:right="-197" w:rightChars="-94"/>
        <w:jc w:val="left"/>
        <w:rPr>
          <w:rFonts w:ascii="仿宋_GB2312" w:eastAsia="仿宋_GB2312"/>
          <w:sz w:val="32"/>
          <w:szCs w:val="32"/>
        </w:rPr>
      </w:pPr>
    </w:p>
    <w:p w14:paraId="75D08518">
      <w:pPr>
        <w:spacing w:line="520" w:lineRule="exact"/>
        <w:ind w:right="-197" w:rightChars="-94"/>
        <w:jc w:val="left"/>
        <w:rPr>
          <w:rFonts w:ascii="仿宋_GB2312" w:eastAsia="仿宋_GB2312"/>
          <w:sz w:val="32"/>
          <w:szCs w:val="32"/>
        </w:rPr>
      </w:pPr>
    </w:p>
    <w:p w14:paraId="5B8EE0A1">
      <w:pPr>
        <w:spacing w:line="520" w:lineRule="exact"/>
        <w:ind w:right="-197" w:rightChars="-94"/>
        <w:jc w:val="left"/>
        <w:rPr>
          <w:rFonts w:ascii="仿宋_GB2312" w:eastAsia="仿宋_GB2312"/>
          <w:sz w:val="32"/>
          <w:szCs w:val="32"/>
        </w:rPr>
      </w:pPr>
    </w:p>
    <w:p w14:paraId="134C6485">
      <w:pPr>
        <w:spacing w:line="520" w:lineRule="exact"/>
        <w:ind w:right="-197" w:rightChars="-94"/>
        <w:jc w:val="left"/>
        <w:rPr>
          <w:rFonts w:ascii="仿宋_GB2312" w:eastAsia="仿宋_GB2312"/>
          <w:sz w:val="32"/>
          <w:szCs w:val="32"/>
        </w:rPr>
      </w:pPr>
    </w:p>
    <w:p w14:paraId="74B90899">
      <w:pPr>
        <w:spacing w:line="520" w:lineRule="exact"/>
        <w:ind w:right="-197" w:rightChars="-94"/>
        <w:jc w:val="left"/>
        <w:rPr>
          <w:rFonts w:ascii="仿宋_GB2312" w:eastAsia="仿宋_GB2312"/>
          <w:sz w:val="32"/>
          <w:szCs w:val="32"/>
        </w:rPr>
      </w:pPr>
    </w:p>
    <w:p w14:paraId="798BBDF4">
      <w:pPr>
        <w:spacing w:line="520" w:lineRule="exact"/>
        <w:ind w:right="-197" w:rightChars="-94"/>
        <w:jc w:val="left"/>
        <w:rPr>
          <w:rFonts w:ascii="仿宋_GB2312" w:eastAsia="仿宋_GB2312"/>
          <w:sz w:val="32"/>
          <w:szCs w:val="32"/>
        </w:rPr>
      </w:pPr>
    </w:p>
    <w:p w14:paraId="5C7A31E4">
      <w:pPr>
        <w:spacing w:line="520" w:lineRule="exact"/>
        <w:ind w:right="-197" w:rightChars="-94"/>
        <w:jc w:val="left"/>
        <w:rPr>
          <w:rFonts w:hint="eastAsia" w:ascii="仿宋_GB2312" w:eastAsia="仿宋_GB2312"/>
          <w:sz w:val="32"/>
          <w:szCs w:val="32"/>
          <w:lang w:val="en-US" w:eastAsia="zh-CN"/>
        </w:rPr>
      </w:pPr>
    </w:p>
    <w:p w14:paraId="73F72367">
      <w:pPr>
        <w:spacing w:line="520" w:lineRule="exact"/>
        <w:ind w:right="-197" w:rightChars="-94"/>
        <w:jc w:val="left"/>
        <w:rPr>
          <w:rFonts w:hint="eastAsia" w:ascii="黑体" w:hAnsi="黑体" w:eastAsia="黑体" w:cs="黑体"/>
          <w:sz w:val="32"/>
          <w:szCs w:val="32"/>
          <w:lang w:eastAsia="zh-CN"/>
        </w:rPr>
      </w:pPr>
      <w:r>
        <w:rPr>
          <w:rFonts w:hint="eastAsia" w:ascii="黑体" w:hAnsi="黑体" w:eastAsia="黑体" w:cs="黑体"/>
          <w:sz w:val="32"/>
          <w:szCs w:val="32"/>
          <w:lang w:val="en-US" w:eastAsia="zh-CN"/>
        </w:rPr>
        <w:t>附件6</w:t>
      </w:r>
    </w:p>
    <w:p w14:paraId="6B1619CE">
      <w:pPr>
        <w:spacing w:line="520" w:lineRule="exact"/>
        <w:ind w:right="-197" w:rightChars="-94"/>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2026年发票、资金支出管理办法</w:t>
      </w:r>
    </w:p>
    <w:p w14:paraId="49E8F516">
      <w:pPr>
        <w:spacing w:line="520" w:lineRule="exact"/>
        <w:ind w:right="-197" w:rightChars="-94" w:firstLine="640" w:firstLineChars="200"/>
        <w:rPr>
          <w:rFonts w:ascii="仿宋_GB2312" w:eastAsia="仿宋_GB2312"/>
          <w:sz w:val="32"/>
          <w:szCs w:val="32"/>
        </w:rPr>
      </w:pPr>
    </w:p>
    <w:p w14:paraId="090F3393">
      <w:pPr>
        <w:keepNext w:val="0"/>
        <w:keepLines w:val="0"/>
        <w:pageBreakBefore w:val="0"/>
        <w:widowControl/>
        <w:wordWrap/>
        <w:overflowPunct/>
        <w:topLinePunct w:val="0"/>
        <w:bidi w:val="0"/>
        <w:spacing w:line="520" w:lineRule="exact"/>
        <w:jc w:val="center"/>
        <w:rPr>
          <w:rFonts w:hint="eastAsia" w:ascii="黑体" w:hAnsi="黑体" w:eastAsia="黑体"/>
          <w:kern w:val="0"/>
          <w:sz w:val="32"/>
          <w:szCs w:val="32"/>
        </w:rPr>
      </w:pPr>
      <w:r>
        <w:rPr>
          <w:rFonts w:hint="eastAsia" w:ascii="黑体" w:hAnsi="黑体" w:eastAsia="黑体"/>
          <w:kern w:val="0"/>
          <w:sz w:val="32"/>
          <w:szCs w:val="32"/>
        </w:rPr>
        <w:t>第一章 总则</w:t>
      </w:r>
    </w:p>
    <w:p w14:paraId="7F129C8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第一条 </w:t>
      </w:r>
      <w:r>
        <w:rPr>
          <w:rFonts w:hint="eastAsia" w:ascii="仿宋_GB2312" w:eastAsia="仿宋_GB2312" w:cs="仿宋_GB2312"/>
          <w:sz w:val="32"/>
          <w:szCs w:val="32"/>
          <w:lang w:bidi="ar"/>
        </w:rPr>
        <w:t>为规范发票及资金支出管理、明确审批权限、防范财务运营风险，依据内部控制制度及集团相关文件规定，结合公司实际情况，特制定发票与资金支出管理办法。</w:t>
      </w:r>
    </w:p>
    <w:p w14:paraId="080BA83C">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p>
    <w:p w14:paraId="618DA337">
      <w:pPr>
        <w:keepNext w:val="0"/>
        <w:keepLines w:val="0"/>
        <w:pageBreakBefore w:val="0"/>
        <w:widowControl/>
        <w:wordWrap/>
        <w:overflowPunct/>
        <w:topLinePunct w:val="0"/>
        <w:bidi w:val="0"/>
        <w:spacing w:line="520" w:lineRule="exact"/>
        <w:jc w:val="center"/>
        <w:rPr>
          <w:rFonts w:hint="eastAsia" w:ascii="黑体" w:hAnsi="黑体" w:eastAsia="黑体"/>
          <w:kern w:val="0"/>
          <w:sz w:val="32"/>
          <w:szCs w:val="32"/>
        </w:rPr>
      </w:pPr>
      <w:r>
        <w:rPr>
          <w:rFonts w:hint="eastAsia" w:ascii="黑体" w:hAnsi="黑体" w:eastAsia="黑体"/>
          <w:kern w:val="0"/>
          <w:sz w:val="32"/>
          <w:szCs w:val="32"/>
        </w:rPr>
        <w:t>第二章 发票管理</w:t>
      </w:r>
    </w:p>
    <w:p w14:paraId="3EA286E9">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第二条 </w:t>
      </w:r>
      <w:r>
        <w:rPr>
          <w:rFonts w:hint="eastAsia" w:ascii="仿宋_GB2312" w:eastAsia="仿宋_GB2312" w:cs="仿宋_GB2312"/>
          <w:sz w:val="32"/>
          <w:szCs w:val="32"/>
          <w:lang w:bidi="ar"/>
        </w:rPr>
        <w:t>开具增值税发票原则上应开具增值税专用发票；确实无法开具增值税专用发票的，须按不含税金额开具增值税普通发票。</w:t>
      </w:r>
    </w:p>
    <w:p w14:paraId="6ACE6206">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第三条 </w:t>
      </w:r>
      <w:r>
        <w:rPr>
          <w:rFonts w:hint="eastAsia" w:ascii="仿宋_GB2312" w:eastAsia="仿宋_GB2312" w:cs="仿宋_GB2312"/>
          <w:sz w:val="32"/>
          <w:szCs w:val="32"/>
          <w:lang w:bidi="ar"/>
        </w:rPr>
        <w:t>财务共享上线费用报销事前申请包括招待事前申请、出差申请，具体说明如下：</w:t>
      </w:r>
    </w:p>
    <w:p w14:paraId="052F2157">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（一）招待事前申请</w:t>
      </w:r>
    </w:p>
    <w:p w14:paraId="0D6922F9">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适用场景：本单据适用于公司在日常经营管理活动中对来访客户或合作伙伴进行的餐饮、住宿、赠送礼品等业务招待。业务招待分为公务招待、商务招待。</w:t>
      </w:r>
    </w:p>
    <w:p w14:paraId="2657BC2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招待事前审批流程：经办人员→</w:t>
      </w:r>
      <w:r>
        <w:rPr>
          <w:rFonts w:hint="eastAsia" w:ascii="仿宋_GB2312" w:eastAsia="仿宋_GB2312" w:cs="仿宋_GB2312"/>
          <w:sz w:val="32"/>
          <w:szCs w:val="32"/>
          <w:lang w:val="en-US" w:eastAsia="zh-CN" w:bidi="ar"/>
        </w:rPr>
        <w:t>车间→</w:t>
      </w:r>
      <w:r>
        <w:rPr>
          <w:rFonts w:hint="eastAsia" w:ascii="仿宋_GB2312" w:eastAsia="仿宋_GB2312" w:cs="仿宋_GB2312"/>
          <w:sz w:val="32"/>
          <w:szCs w:val="32"/>
          <w:lang w:bidi="ar"/>
        </w:rPr>
        <w:t>部门→分管领导→办公室</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val="en-US" w:eastAsia="zh-CN" w:bidi="ar"/>
        </w:rPr>
        <w:t>综合部</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bidi="ar"/>
        </w:rPr>
        <w:t>→经营副总经理→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w:t>
      </w:r>
    </w:p>
    <w:p w14:paraId="320105EF">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（二）出差申请</w:t>
      </w:r>
    </w:p>
    <w:p w14:paraId="15D60E13">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本单据适用于公司员工临时到常驻地以外地区公务出差事前申请（纯粹外出公事出差）。</w:t>
      </w:r>
    </w:p>
    <w:p w14:paraId="50499FEB">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差旅事前审批流程：经办人员→</w:t>
      </w:r>
      <w:r>
        <w:rPr>
          <w:rFonts w:hint="eastAsia" w:ascii="仿宋_GB2312" w:eastAsia="仿宋_GB2312" w:cs="仿宋_GB2312"/>
          <w:sz w:val="32"/>
          <w:szCs w:val="32"/>
          <w:lang w:val="en-US" w:eastAsia="zh-CN" w:bidi="ar"/>
        </w:rPr>
        <w:t>车间</w:t>
      </w:r>
      <w:r>
        <w:rPr>
          <w:rFonts w:hint="eastAsia" w:ascii="仿宋_GB2312" w:eastAsia="仿宋_GB2312" w:cs="仿宋_GB2312"/>
          <w:sz w:val="32"/>
          <w:szCs w:val="32"/>
          <w:lang w:bidi="ar"/>
        </w:rPr>
        <w:t>→部门→分管领导→经营副总经理→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w:t>
      </w:r>
    </w:p>
    <w:p w14:paraId="60E4F788">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第四条 </w:t>
      </w:r>
      <w:bookmarkStart w:id="4" w:name="OLE_LINK7"/>
      <w:r>
        <w:rPr>
          <w:rFonts w:hint="eastAsia" w:ascii="仿宋_GB2312" w:eastAsia="仿宋_GB2312" w:cs="仿宋_GB2312"/>
          <w:sz w:val="32"/>
          <w:szCs w:val="32"/>
          <w:lang w:bidi="ar"/>
        </w:rPr>
        <w:t>财务共享线上发票审批流程</w:t>
      </w:r>
      <w:bookmarkEnd w:id="4"/>
    </w:p>
    <w:p w14:paraId="2E52CE8E">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（一）采购挂账单包括采购</w:t>
      </w:r>
      <w:r>
        <w:rPr>
          <w:rFonts w:hint="eastAsia" w:ascii="仿宋_GB2312" w:eastAsia="仿宋_GB2312" w:cs="仿宋_GB2312"/>
          <w:sz w:val="32"/>
          <w:szCs w:val="32"/>
          <w:lang w:eastAsia="zh-CN" w:bidi="ar"/>
        </w:rPr>
        <w:t>挂账单</w:t>
      </w:r>
      <w:r>
        <w:rPr>
          <w:rFonts w:hint="eastAsia" w:ascii="仿宋_GB2312" w:eastAsia="仿宋_GB2312" w:cs="仿宋_GB2312"/>
          <w:sz w:val="32"/>
          <w:szCs w:val="32"/>
          <w:lang w:bidi="ar"/>
        </w:rPr>
        <w:t>（有合同）、采购挂账单（无合同）、资产增加单具体说明如下：</w:t>
      </w:r>
    </w:p>
    <w:p w14:paraId="110CE16C">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1.采购</w:t>
      </w:r>
      <w:r>
        <w:rPr>
          <w:rFonts w:hint="eastAsia" w:ascii="仿宋_GB2312" w:eastAsia="仿宋_GB2312" w:cs="仿宋_GB2312"/>
          <w:sz w:val="32"/>
          <w:szCs w:val="32"/>
          <w:lang w:eastAsia="zh-CN" w:bidi="ar"/>
        </w:rPr>
        <w:t>挂账单</w:t>
      </w:r>
      <w:r>
        <w:rPr>
          <w:rFonts w:hint="eastAsia" w:ascii="仿宋_GB2312" w:eastAsia="仿宋_GB2312" w:cs="仿宋_GB2312"/>
          <w:sz w:val="32"/>
          <w:szCs w:val="32"/>
          <w:lang w:bidi="ar"/>
        </w:rPr>
        <w:t>（无合同）</w:t>
      </w:r>
    </w:p>
    <w:p w14:paraId="4070DFB2">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与上游供应商未签订采购合同的发票挂账，包含零星采购、办公用品采购、服务采购等；注意事项：（1）该场景为未签订合同的采购业务，（2）该场景必须为取得发票后挂账。（3）本单据结算方式分为挂账不付款和即挂即付，其中挂账不付款只挂账，付款时需要再通过【付款申请单】办理；即挂即付（零星报销）。</w:t>
      </w:r>
    </w:p>
    <w:p w14:paraId="4F418196">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2.采购</w:t>
      </w:r>
      <w:r>
        <w:rPr>
          <w:rFonts w:hint="eastAsia" w:ascii="仿宋_GB2312" w:eastAsia="仿宋_GB2312" w:cs="仿宋_GB2312"/>
          <w:sz w:val="32"/>
          <w:szCs w:val="32"/>
          <w:lang w:eastAsia="zh-CN" w:bidi="ar"/>
        </w:rPr>
        <w:t>挂账单</w:t>
      </w:r>
      <w:r>
        <w:rPr>
          <w:rFonts w:hint="eastAsia" w:ascii="仿宋_GB2312" w:eastAsia="仿宋_GB2312" w:cs="仿宋_GB2312"/>
          <w:sz w:val="32"/>
          <w:szCs w:val="32"/>
          <w:lang w:bidi="ar"/>
        </w:rPr>
        <w:t>（有合同）</w:t>
      </w:r>
    </w:p>
    <w:p w14:paraId="478B19C0">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与上游供应商签订采购合同的发票挂账，包含（1）材料、燃料、办公用品等物资采购验收入库后发票挂账；（2）服务类（含维修、劳务等）发票挂账；注意事项：（1）该场景为签订合同的采购业务，（2）该场景必须为取得发票后挂账。</w:t>
      </w:r>
    </w:p>
    <w:p w14:paraId="7E119598">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3.资产增加单</w:t>
      </w:r>
    </w:p>
    <w:p w14:paraId="2D27B1EF">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1）新增资产当月收到发票入账；（2）以前月份新增资产后收到发票入账。新增资产包括购入、接收投资、接受捐赠、自建、盘盈等方式；新增的资产包括①固定资产②无形资产③生物性资产④使用权资产⑤长期待摊费用。</w:t>
      </w:r>
    </w:p>
    <w:p w14:paraId="1A563E8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4.采购</w:t>
      </w:r>
      <w:r>
        <w:rPr>
          <w:rFonts w:hint="eastAsia" w:ascii="仿宋_GB2312" w:eastAsia="仿宋_GB2312" w:cs="仿宋_GB2312"/>
          <w:sz w:val="32"/>
          <w:szCs w:val="32"/>
          <w:lang w:eastAsia="zh-CN" w:bidi="ar"/>
        </w:rPr>
        <w:t>挂账单</w:t>
      </w:r>
      <w:r>
        <w:rPr>
          <w:rFonts w:hint="eastAsia" w:ascii="仿宋_GB2312" w:eastAsia="仿宋_GB2312" w:cs="仿宋_GB2312"/>
          <w:sz w:val="32"/>
          <w:szCs w:val="32"/>
          <w:lang w:bidi="ar"/>
        </w:rPr>
        <w:t>（有合同、无合同）、资产增加单审批流程：经办人员→车间→部门→分管领导→业财初审→分管副总经理→财务部→</w:t>
      </w:r>
      <w:r>
        <w:rPr>
          <w:rFonts w:hint="eastAsia" w:ascii="仿宋_GB2312" w:eastAsia="仿宋_GB2312" w:cs="仿宋_GB2312"/>
          <w:sz w:val="32"/>
          <w:szCs w:val="32"/>
          <w:lang w:val="en-US" w:eastAsia="zh-CN" w:bidi="ar"/>
        </w:rPr>
        <w:t>公司负责</w:t>
      </w:r>
      <w:r>
        <w:rPr>
          <w:rFonts w:hint="eastAsia" w:ascii="仿宋_GB2312" w:eastAsia="仿宋_GB2312" w:cs="仿宋_GB2312"/>
          <w:sz w:val="32"/>
          <w:szCs w:val="32"/>
          <w:lang w:bidi="ar"/>
        </w:rPr>
        <w:t>人→党委书记→共享审核。</w:t>
      </w:r>
    </w:p>
    <w:p w14:paraId="2F56F426">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（二）费用报销单包括党建经费报销单、会议费报销单、培训费报销单、业务招待费报销单、差旅费报销单、通讯费报销单、通用报销单，具体说明如下：</w:t>
      </w:r>
    </w:p>
    <w:p w14:paraId="1DCA02D8">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1.党建经费</w:t>
      </w:r>
    </w:p>
    <w:p w14:paraId="43E8FA1D">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适用场景：本单据适用于组织党建活动所产生的费用，主要为组织党员思想政治教育、日常党务工作等活动的经费。</w:t>
      </w:r>
    </w:p>
    <w:p w14:paraId="09F5F5D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党建经费报销单审批流程：经办人员→业财初审→支部书记→党群部</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val="en-US" w:eastAsia="zh-CN" w:bidi="ar"/>
        </w:rPr>
        <w:t>人力资源部</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bidi="ar"/>
        </w:rPr>
        <w:t>→</w:t>
      </w:r>
      <w:r>
        <w:rPr>
          <w:rFonts w:hint="eastAsia" w:ascii="仿宋_GB2312" w:eastAsia="仿宋_GB2312" w:cs="仿宋_GB2312"/>
          <w:sz w:val="32"/>
          <w:szCs w:val="32"/>
          <w:lang w:val="en-US" w:eastAsia="zh-CN" w:bidi="ar"/>
        </w:rPr>
        <w:t>分管领导</w:t>
      </w:r>
      <w:r>
        <w:rPr>
          <w:rFonts w:hint="eastAsia" w:ascii="仿宋_GB2312" w:eastAsia="仿宋_GB2312" w:cs="仿宋_GB2312"/>
          <w:sz w:val="32"/>
          <w:szCs w:val="32"/>
          <w:lang w:bidi="ar"/>
        </w:rPr>
        <w:t>→财务部→经营副总经理→党委书记→共享审核</w:t>
      </w:r>
    </w:p>
    <w:p w14:paraId="32922E2E">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2.会议费报销</w:t>
      </w:r>
    </w:p>
    <w:p w14:paraId="698BDE38">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适用场景：本单据适用于公司组织会议或员工参加会议所产生的住宿费、餐费、场地租金、交通费、会议用品等费用报销；注意事项：须上传会议通知等相关证明材料。</w:t>
      </w:r>
    </w:p>
    <w:p w14:paraId="714B36BD">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会议费报销单审批流程：经办人员→业财初审→车间→部门→分管领导→财务部→经营副总经理→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73348A2C">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3.培训费报销</w:t>
      </w:r>
    </w:p>
    <w:p w14:paraId="3966CACA">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适用场景：本单据适用于公司组织培训或员工参加培训所产生的住宿费、餐费、场地租金、交通费、培训用品等费用报销；注意事项：须上传培训通知等相关证明材料。</w:t>
      </w:r>
    </w:p>
    <w:p w14:paraId="52EA966A">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培训</w:t>
      </w:r>
      <w:r>
        <w:rPr>
          <w:rFonts w:hint="eastAsia" w:ascii="仿宋_GB2312" w:eastAsia="仿宋_GB2312" w:cs="仿宋_GB2312"/>
          <w:sz w:val="32"/>
          <w:szCs w:val="32"/>
          <w:lang w:eastAsia="zh-CN" w:bidi="ar"/>
        </w:rPr>
        <w:t>费</w:t>
      </w:r>
      <w:r>
        <w:rPr>
          <w:rFonts w:hint="eastAsia" w:ascii="仿宋_GB2312" w:eastAsia="仿宋_GB2312" w:cs="仿宋_GB2312"/>
          <w:sz w:val="32"/>
          <w:szCs w:val="32"/>
          <w:lang w:bidi="ar"/>
        </w:rPr>
        <w:t>报销单审批流程：经办人员→业财初审→车间→部门→分管领导→财务部→经营副总经理→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78B5C82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4.业务招待费报销</w:t>
      </w:r>
    </w:p>
    <w:p w14:paraId="3AE03E8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适用场景：本单据适用于公司在日常经营管理活动中对来访客户或合作伙伴进行的餐饮、住宿、赠送礼品等业务招待活动所发生的费用报销。</w:t>
      </w:r>
    </w:p>
    <w:p w14:paraId="6668606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业务招待报销单审批流程：经办人员→业财初审→车间→部门→办公室</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val="en-US" w:eastAsia="zh-CN" w:bidi="ar"/>
        </w:rPr>
        <w:t>综合部</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bidi="ar"/>
        </w:rPr>
        <w:t>→分管领导→财务部→经营副总经理→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23F6D709">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5.差旅费报销单</w:t>
      </w:r>
    </w:p>
    <w:p w14:paraId="6315E0A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适用场景：本单据适用于公司工作人员临时到常驻地以外地区公务出差所发生的城市间交通费、住宿费、出差补助（伙食补助和市内交通补助）。</w:t>
      </w:r>
    </w:p>
    <w:p w14:paraId="6DCB8EF1">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差旅费报销单审批流程：经办人员→业财初审→车间→部门→分管领导→财务部→经营副总经理→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2B73968A">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6.通讯费报销单</w:t>
      </w:r>
    </w:p>
    <w:p w14:paraId="7587E5A2">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适用场景：本单据适用于公司现职处级管理人员、驾驶员报销公务移动手机通讯费；注意事项：办公场所的固定电话、宽带网络等通信费用通过【通用报销单】提报。</w:t>
      </w:r>
    </w:p>
    <w:p w14:paraId="2AFDEEAC">
      <w:pPr>
        <w:keepNext w:val="0"/>
        <w:keepLines w:val="0"/>
        <w:pageBreakBefore w:val="0"/>
        <w:wordWrap/>
        <w:overflowPunct/>
        <w:topLinePunct w:val="0"/>
        <w:bidi w:val="0"/>
        <w:spacing w:line="520" w:lineRule="exact"/>
        <w:ind w:firstLine="640" w:firstLineChars="200"/>
        <w:rPr>
          <w:rFonts w:hint="default" w:ascii="仿宋_GB2312" w:eastAsia="仿宋_GB2312" w:cs="仿宋_GB2312"/>
          <w:sz w:val="32"/>
          <w:szCs w:val="32"/>
          <w:lang w:val="en-US" w:eastAsia="zh-CN" w:bidi="ar"/>
        </w:rPr>
      </w:pPr>
      <w:r>
        <w:rPr>
          <w:rFonts w:hint="eastAsia" w:ascii="仿宋_GB2312" w:eastAsia="仿宋_GB2312" w:cs="仿宋_GB2312"/>
          <w:sz w:val="32"/>
          <w:szCs w:val="32"/>
          <w:lang w:bidi="ar"/>
        </w:rPr>
        <w:t>通讯费报销单审批流程：经办人员→业财初审→部门→分管领导→财务部→经营副总经理→</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43A7AB8C">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7.通用报销单</w:t>
      </w:r>
    </w:p>
    <w:p w14:paraId="1EE7D5C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适用场景：本单据适用于员工报销除业务招待费、差旅费、会议费、培训费、通讯费之外的其他员工费用。注意事项：由于公司目前尚未单独建立工会账套，工会经费报销使用通用报销单。</w:t>
      </w:r>
    </w:p>
    <w:p w14:paraId="254656A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①通用报销单审批流程（除工会经费、年薪制外）：经办人员→业财初审→车间→部门→分管领导→经营副总经理→财务部→</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0DE7CD49">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②通用报销单审批流程（工会经费）：经办人员（车间工会主席）→业财初审→部门→分管领导→经营副总经理→财务部（加签到党群部）→党群部（加签到工会主席）→工会主席→</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2F4CA31E">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③通用报销单审批流程（年薪制）：经办人员→业财初审→指派单位负责人/党委书记→财务部→经营副总经理→单位负责人→党委书记→共享审核</w:t>
      </w:r>
    </w:p>
    <w:p w14:paraId="4212F2F0">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④工会发票流程（取得工会营业执照）：经办人员→车间工会主席→工会副主席→工会业财初审→财务部→工会主席→共享审核</w:t>
      </w:r>
    </w:p>
    <w:p w14:paraId="78C423CB">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（三）1万元以下的发票审批流程，由党委书记授权单位负责人审批。</w:t>
      </w:r>
    </w:p>
    <w:p w14:paraId="0996C7C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第五条 财务共享线下发票审批流程</w:t>
      </w:r>
    </w:p>
    <w:p w14:paraId="3DB1F30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楷体_GB2312" w:hAnsi="楷体_GB2312" w:eastAsia="楷体_GB2312" w:cs="楷体_GB2312"/>
          <w:sz w:val="32"/>
          <w:szCs w:val="32"/>
          <w:lang w:bidi="ar"/>
        </w:rPr>
        <w:t>（一）职工租房报销：</w:t>
      </w:r>
      <w:r>
        <w:rPr>
          <w:rFonts w:hint="eastAsia" w:ascii="仿宋_GB2312" w:eastAsia="仿宋_GB2312" w:cs="仿宋_GB2312"/>
          <w:sz w:val="32"/>
          <w:szCs w:val="32"/>
          <w:lang w:bidi="ar"/>
        </w:rPr>
        <w:t>租房员工→车间→部门→分管领导→综合部→人力资源部→业财初审→经营副总经理→</w:t>
      </w:r>
      <w:r>
        <w:rPr>
          <w:rFonts w:hint="eastAsia" w:ascii="仿宋_GB2312" w:eastAsia="仿宋_GB2312" w:cs="仿宋_GB2312"/>
          <w:sz w:val="32"/>
          <w:szCs w:val="32"/>
          <w:lang w:val="en-US" w:eastAsia="zh-CN" w:bidi="ar"/>
        </w:rPr>
        <w:t>公司负责人</w:t>
      </w:r>
      <w:r>
        <w:rPr>
          <w:rFonts w:hint="eastAsia" w:ascii="仿宋_GB2312" w:eastAsia="仿宋_GB2312" w:cs="仿宋_GB2312"/>
          <w:sz w:val="32"/>
          <w:szCs w:val="32"/>
          <w:lang w:bidi="ar"/>
        </w:rPr>
        <w:t>→党委书记</w:t>
      </w:r>
    </w:p>
    <w:p w14:paraId="423D7EA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楷体_GB2312" w:hAnsi="楷体_GB2312" w:eastAsia="楷体_GB2312" w:cs="楷体_GB2312"/>
          <w:sz w:val="32"/>
          <w:szCs w:val="32"/>
          <w:lang w:bidi="ar"/>
        </w:rPr>
        <w:t>（二）食堂业务报销：</w:t>
      </w:r>
      <w:r>
        <w:rPr>
          <w:rFonts w:hint="eastAsia" w:ascii="仿宋_GB2312" w:eastAsia="仿宋_GB2312" w:cs="仿宋_GB2312"/>
          <w:sz w:val="32"/>
          <w:szCs w:val="32"/>
          <w:lang w:bidi="ar"/>
        </w:rPr>
        <w:t>经办人员→综合部→业财初审→经营副总经理→</w:t>
      </w:r>
      <w:r>
        <w:rPr>
          <w:rFonts w:hint="eastAsia" w:ascii="仿宋_GB2312" w:eastAsia="仿宋_GB2312" w:cs="仿宋_GB2312"/>
          <w:sz w:val="32"/>
          <w:szCs w:val="32"/>
          <w:lang w:val="en-US" w:eastAsia="zh-CN" w:bidi="ar"/>
        </w:rPr>
        <w:t>公司负责人</w:t>
      </w:r>
      <w:r>
        <w:rPr>
          <w:rFonts w:hint="eastAsia" w:ascii="仿宋_GB2312" w:eastAsia="仿宋_GB2312" w:cs="仿宋_GB2312"/>
          <w:sz w:val="32"/>
          <w:szCs w:val="32"/>
          <w:lang w:bidi="ar"/>
        </w:rPr>
        <w:t>→党委书记</w:t>
      </w:r>
    </w:p>
    <w:p w14:paraId="328ADD6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第六条 </w:t>
      </w:r>
      <w:r>
        <w:rPr>
          <w:rFonts w:hint="eastAsia" w:ascii="仿宋_GB2312" w:eastAsia="仿宋_GB2312" w:cs="仿宋_GB2312"/>
          <w:sz w:val="32"/>
          <w:szCs w:val="32"/>
          <w:lang w:bidi="ar"/>
        </w:rPr>
        <w:t>常规经济业务（无特殊原因）一次性全额开票、全额入账，禁止多次操作，违者扣经办人员绩效工资100元/次；工程类按月度进度开票入账，维保类按月或季度开票入账。</w:t>
      </w:r>
    </w:p>
    <w:p w14:paraId="427EC89C">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p>
    <w:p w14:paraId="4E003BFF">
      <w:pPr>
        <w:keepNext w:val="0"/>
        <w:keepLines w:val="0"/>
        <w:pageBreakBefore w:val="0"/>
        <w:widowControl/>
        <w:wordWrap/>
        <w:overflowPunct/>
        <w:topLinePunct w:val="0"/>
        <w:bidi w:val="0"/>
        <w:spacing w:line="520" w:lineRule="exact"/>
        <w:jc w:val="center"/>
        <w:rPr>
          <w:rFonts w:hint="eastAsia" w:ascii="黑体" w:hAnsi="黑体" w:eastAsia="黑体"/>
          <w:kern w:val="0"/>
          <w:sz w:val="32"/>
          <w:szCs w:val="32"/>
        </w:rPr>
      </w:pPr>
      <w:r>
        <w:rPr>
          <w:rFonts w:hint="eastAsia" w:ascii="黑体" w:hAnsi="黑体" w:eastAsia="黑体"/>
          <w:kern w:val="0"/>
          <w:sz w:val="32"/>
          <w:szCs w:val="32"/>
        </w:rPr>
        <w:t>第三章 资金支出管理</w:t>
      </w:r>
    </w:p>
    <w:p w14:paraId="4D5C963B">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第七条 </w:t>
      </w:r>
      <w:r>
        <w:rPr>
          <w:rFonts w:hint="eastAsia" w:ascii="仿宋_GB2312" w:eastAsia="仿宋_GB2312" w:cs="仿宋_GB2312"/>
          <w:sz w:val="32"/>
          <w:szCs w:val="32"/>
          <w:lang w:bidi="ar"/>
        </w:rPr>
        <w:t>本办法所称资金是指公司所拥有或控制的现金、银行存款和银行电子承兑汇票（以下简称“票据”）。</w:t>
      </w:r>
    </w:p>
    <w:p w14:paraId="1E71320B">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第八条 </w:t>
      </w:r>
      <w:r>
        <w:rPr>
          <w:rFonts w:hint="eastAsia" w:ascii="仿宋_GB2312" w:eastAsia="仿宋_GB2312" w:cs="仿宋_GB2312"/>
          <w:sz w:val="32"/>
          <w:szCs w:val="32"/>
          <w:lang w:bidi="ar"/>
        </w:rPr>
        <w:t>本办法资金管理包括资金预算管理、资金收支管理。</w:t>
      </w:r>
    </w:p>
    <w:p w14:paraId="2BB5F770">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第九条 </w:t>
      </w:r>
      <w:r>
        <w:rPr>
          <w:rFonts w:hint="eastAsia" w:ascii="仿宋_GB2312" w:eastAsia="仿宋_GB2312" w:cs="仿宋_GB2312"/>
          <w:sz w:val="32"/>
          <w:szCs w:val="32"/>
          <w:lang w:bidi="ar"/>
        </w:rPr>
        <w:t xml:space="preserve">公司资金预算管理严格遵循“以收定支、严控支出、确保重点”原则。 </w:t>
      </w:r>
    </w:p>
    <w:p w14:paraId="3D3D3A5F">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 xml:space="preserve">（一）年度资金预算 </w:t>
      </w:r>
    </w:p>
    <w:p w14:paraId="0E71D82C">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公司依据年度经营、投资及融资预算编制年度资金预算，经公司审议后报集团公司审定。 </w:t>
      </w:r>
    </w:p>
    <w:p w14:paraId="75B29F1D">
      <w:pPr>
        <w:keepNext w:val="0"/>
        <w:keepLines w:val="0"/>
        <w:pageBreakBefore w:val="0"/>
        <w:wordWrap/>
        <w:overflowPunct/>
        <w:topLinePunct w:val="0"/>
        <w:bidi w:val="0"/>
        <w:spacing w:line="520" w:lineRule="exact"/>
        <w:ind w:firstLine="640" w:firstLineChars="200"/>
        <w:rPr>
          <w:rFonts w:hint="eastAsia" w:ascii="楷体_GB2312" w:hAnsi="楷体_GB2312" w:eastAsia="楷体_GB2312" w:cs="楷体_GB2312"/>
          <w:sz w:val="32"/>
          <w:szCs w:val="32"/>
          <w:lang w:bidi="ar"/>
        </w:rPr>
      </w:pPr>
      <w:r>
        <w:rPr>
          <w:rFonts w:hint="eastAsia" w:ascii="楷体_GB2312" w:hAnsi="楷体_GB2312" w:eastAsia="楷体_GB2312" w:cs="楷体_GB2312"/>
          <w:sz w:val="32"/>
          <w:szCs w:val="32"/>
          <w:lang w:bidi="ar"/>
        </w:rPr>
        <w:t xml:space="preserve">（二）月度资金预算 </w:t>
      </w:r>
    </w:p>
    <w:p w14:paraId="13510841">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月度资金预算管理，执行公司《财务管理办法》第九章月度资金预算管理相关规定。</w:t>
      </w:r>
    </w:p>
    <w:p w14:paraId="2DC9F8AA">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第十条 </w:t>
      </w:r>
      <w:r>
        <w:rPr>
          <w:rFonts w:hint="eastAsia" w:ascii="仿宋_GB2312" w:eastAsia="仿宋_GB2312" w:cs="仿宋_GB2312"/>
          <w:sz w:val="32"/>
          <w:szCs w:val="32"/>
          <w:lang w:bidi="ar"/>
        </w:rPr>
        <w:t>财务共享线上资金支出审批流程：</w:t>
      </w:r>
    </w:p>
    <w:p w14:paraId="46A0FFA1">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（一）资金支出包括付款申请单、预付款申请单、退客商缴纳保证金、向客商缴纳保证金、押金退款单、借款申请单及各项费用报销（已在本办法第四条第二项中予以说明），具体说明如下：</w:t>
      </w:r>
    </w:p>
    <w:p w14:paraId="7873B17B">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1.付款申请单</w:t>
      </w:r>
    </w:p>
    <w:p w14:paraId="4783FD9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挂账付款，包括（1）采购业务付款；（2）服务类（含维修、劳务等）业务付款；（3）代收代付性质付款；（4）投资活动付款（购建资产、投资支付款等）；（5）融资活动付款（归还银行借款、归还财务公司借款、归还融资租赁款、归还集团借款）。</w:t>
      </w:r>
    </w:p>
    <w:p w14:paraId="0FE218E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2.预付款申请</w:t>
      </w:r>
    </w:p>
    <w:p w14:paraId="28E27071">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预付款情形，包括（1）签订合同后商品未验收入库的预付款项情形；（2）签订合同后商品已验收入库但未收到发票支付款项情形；（3）ETC、加油卡对公预付充值；（4）预付对公会议费、培训费等情形。注意事项：办理预付款支付业务时，须同步上传合同或相关报告，并将对应纸质资</w:t>
      </w:r>
      <w:r>
        <w:rPr>
          <w:rFonts w:hint="eastAsia" w:ascii="仿宋_GB2312" w:eastAsia="仿宋_GB2312" w:cs="仿宋_GB2312"/>
          <w:sz w:val="32"/>
          <w:szCs w:val="32"/>
          <w:lang w:eastAsia="zh-CN" w:bidi="ar"/>
        </w:rPr>
        <w:t>料提</w:t>
      </w:r>
      <w:r>
        <w:rPr>
          <w:rFonts w:hint="eastAsia" w:ascii="仿宋_GB2312" w:eastAsia="仿宋_GB2312" w:cs="仿宋_GB2312"/>
          <w:sz w:val="32"/>
          <w:szCs w:val="32"/>
          <w:lang w:bidi="ar"/>
        </w:rPr>
        <w:t>交至财务部，方可启动付款流程。</w:t>
      </w:r>
    </w:p>
    <w:p w14:paraId="20B8A6F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3.退客商缴纳保证金</w:t>
      </w:r>
    </w:p>
    <w:p w14:paraId="646D7AA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适用场景：本单据适用于公司退下游供应商或上游客户保证金，包括投标保证金、履约保证金、质量保证金、安全保证金、环保保证金、企业农民工工资保证金等。注意事项：办理客商保证金退还业务时，</w:t>
      </w:r>
      <w:r>
        <w:rPr>
          <w:rFonts w:hint="eastAsia" w:ascii="仿宋_GB2312" w:eastAsia="仿宋_GB2312" w:cs="仿宋_GB2312"/>
          <w:sz w:val="32"/>
          <w:szCs w:val="32"/>
          <w:lang w:val="en-US" w:eastAsia="zh-CN" w:bidi="ar"/>
        </w:rPr>
        <w:t>经办部门提交</w:t>
      </w:r>
      <w:r>
        <w:rPr>
          <w:rFonts w:hint="eastAsia" w:ascii="仿宋_GB2312" w:eastAsia="仿宋_GB2312" w:cs="仿宋_GB2312"/>
          <w:sz w:val="32"/>
          <w:szCs w:val="32"/>
          <w:lang w:bidi="ar"/>
        </w:rPr>
        <w:t>外部单位出具到期退款函并将纸质资料交至财务部，方可启动退款流程。</w:t>
      </w:r>
    </w:p>
    <w:p w14:paraId="607EA10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val="en-US" w:eastAsia="zh-CN" w:bidi="ar"/>
        </w:rPr>
        <w:t>4</w:t>
      </w:r>
      <w:r>
        <w:rPr>
          <w:rFonts w:hint="eastAsia" w:ascii="仿宋_GB2312" w:eastAsia="仿宋_GB2312" w:cs="仿宋_GB2312"/>
          <w:sz w:val="32"/>
          <w:szCs w:val="32"/>
          <w:lang w:bidi="ar"/>
        </w:rPr>
        <w:t>.押金退款单</w:t>
      </w:r>
    </w:p>
    <w:p w14:paraId="4B71BED4">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用于公司退还内部员工、外部单位、外部个人缴纳的各类押金，包括进厂证押金、识别卡押金、餐卡押金、其他押金等。注意事项：办理押金退还业务时，须上传公司开具的押金收据原件，并将对应纸质资</w:t>
      </w:r>
      <w:r>
        <w:rPr>
          <w:rFonts w:hint="eastAsia" w:ascii="仿宋_GB2312" w:eastAsia="仿宋_GB2312" w:cs="仿宋_GB2312"/>
          <w:sz w:val="32"/>
          <w:szCs w:val="32"/>
          <w:lang w:eastAsia="zh-CN" w:bidi="ar"/>
        </w:rPr>
        <w:t>料提</w:t>
      </w:r>
      <w:r>
        <w:rPr>
          <w:rFonts w:hint="eastAsia" w:ascii="仿宋_GB2312" w:eastAsia="仿宋_GB2312" w:cs="仿宋_GB2312"/>
          <w:sz w:val="32"/>
          <w:szCs w:val="32"/>
          <w:lang w:bidi="ar"/>
        </w:rPr>
        <w:t>交至财务部，方可启动付款流程。</w:t>
      </w:r>
    </w:p>
    <w:p w14:paraId="3F67D23E">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val="en-US" w:eastAsia="zh-CN" w:bidi="ar"/>
        </w:rPr>
        <w:t>5</w:t>
      </w:r>
      <w:r>
        <w:rPr>
          <w:rFonts w:hint="eastAsia" w:ascii="仿宋_GB2312" w:eastAsia="仿宋_GB2312" w:cs="仿宋_GB2312"/>
          <w:sz w:val="32"/>
          <w:szCs w:val="32"/>
          <w:lang w:bidi="ar"/>
        </w:rPr>
        <w:t>.员工借款单</w:t>
      </w:r>
    </w:p>
    <w:p w14:paraId="01CC9E37">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适用场景：本单据适</w:t>
      </w:r>
      <w:r>
        <w:rPr>
          <w:rFonts w:hint="eastAsia" w:ascii="仿宋_GB2312" w:eastAsia="仿宋_GB2312" w:cs="仿宋_GB2312"/>
          <w:sz w:val="32"/>
          <w:szCs w:val="32"/>
          <w:lang w:eastAsia="zh-CN" w:bidi="ar"/>
        </w:rPr>
        <w:t>用于</w:t>
      </w:r>
      <w:r>
        <w:rPr>
          <w:rFonts w:hint="eastAsia" w:ascii="仿宋_GB2312" w:eastAsia="仿宋_GB2312" w:cs="仿宋_GB2312"/>
          <w:sz w:val="32"/>
          <w:szCs w:val="32"/>
          <w:lang w:bidi="ar"/>
        </w:rPr>
        <w:t>员工用于公司业务的紧急借款及备用金借款。</w:t>
      </w:r>
    </w:p>
    <w:p w14:paraId="55136BD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上述各项资金支付审批流程：经办人员→车间→部门→分管领导→业财初审→经营副总经理→财务部→</w:t>
      </w:r>
      <w:r>
        <w:rPr>
          <w:rFonts w:hint="eastAsia" w:ascii="仿宋_GB2312" w:eastAsia="仿宋_GB2312" w:cs="仿宋_GB2312"/>
          <w:sz w:val="32"/>
          <w:szCs w:val="32"/>
          <w:lang w:val="en-US" w:eastAsia="zh-CN" w:bidi="ar"/>
        </w:rPr>
        <w:t>公司</w:t>
      </w:r>
      <w:r>
        <w:rPr>
          <w:rFonts w:hint="eastAsia" w:ascii="仿宋_GB2312" w:eastAsia="仿宋_GB2312" w:cs="仿宋_GB2312"/>
          <w:sz w:val="32"/>
          <w:szCs w:val="32"/>
          <w:lang w:bidi="ar"/>
        </w:rPr>
        <w:t>负责人→党委书记→共享审核</w:t>
      </w:r>
    </w:p>
    <w:p w14:paraId="6EC09951">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（二）1万元以下的资金支出由党委书记授权党委负责人审批。</w:t>
      </w:r>
    </w:p>
    <w:p w14:paraId="783C8285">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第十一条 </w:t>
      </w:r>
      <w:r>
        <w:rPr>
          <w:rFonts w:hint="eastAsia" w:ascii="仿宋_GB2312" w:eastAsia="仿宋_GB2312" w:cs="仿宋_GB2312"/>
          <w:sz w:val="32"/>
          <w:szCs w:val="32"/>
          <w:lang w:bidi="ar"/>
        </w:rPr>
        <w:t>资金支出审批。审批人员根据经总经理办公会审议通过的月度资金预算进行审批；对于月度预算外的资金审批，须经公司主要领导同意后，方可审批，同时挤占经办部门其他资金的支出。</w:t>
      </w:r>
    </w:p>
    <w:p w14:paraId="0266E1B3">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第十二条 </w:t>
      </w:r>
      <w:bookmarkStart w:id="5" w:name="OLE_LINK4"/>
      <w:r>
        <w:rPr>
          <w:rFonts w:hint="eastAsia" w:ascii="仿宋_GB2312" w:eastAsia="仿宋_GB2312" w:cs="仿宋_GB2312"/>
          <w:sz w:val="32"/>
          <w:szCs w:val="32"/>
          <w:lang w:bidi="ar"/>
        </w:rPr>
        <w:t>财务部月末需对当月资金预算及执行情况实施闭合式管理，严格监督各项经济业务审批的合理性、合法性、真实性与完整性，及时出具书面分析报告，以此加强公司货币资金的管理。</w:t>
      </w:r>
    </w:p>
    <w:bookmarkEnd w:id="5"/>
    <w:p w14:paraId="46E21143">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第十三条 </w:t>
      </w:r>
      <w:r>
        <w:rPr>
          <w:rFonts w:hint="eastAsia" w:ascii="仿宋_GB2312" w:eastAsia="仿宋_GB2312" w:cs="仿宋_GB2312"/>
          <w:sz w:val="32"/>
          <w:szCs w:val="32"/>
          <w:lang w:bidi="ar"/>
        </w:rPr>
        <w:t>财务部在加强资金管理基础工作完善制度；定期进行账户的核对、清理及资金盘点工作；严格票据的保管、使用、销毁及银行预留印鉴的管理，进一步强化关键环节的风险控制。</w:t>
      </w:r>
    </w:p>
    <w:p w14:paraId="66F35DF9">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p>
    <w:p w14:paraId="5DCEEBA2">
      <w:pPr>
        <w:keepNext w:val="0"/>
        <w:keepLines w:val="0"/>
        <w:pageBreakBefore w:val="0"/>
        <w:widowControl/>
        <w:wordWrap/>
        <w:overflowPunct/>
        <w:topLinePunct w:val="0"/>
        <w:bidi w:val="0"/>
        <w:spacing w:line="520" w:lineRule="exact"/>
        <w:jc w:val="center"/>
        <w:rPr>
          <w:rFonts w:hint="eastAsia" w:ascii="黑体" w:hAnsi="黑体" w:eastAsia="黑体"/>
          <w:kern w:val="0"/>
          <w:sz w:val="32"/>
          <w:szCs w:val="32"/>
        </w:rPr>
      </w:pPr>
      <w:r>
        <w:rPr>
          <w:rFonts w:hint="eastAsia" w:ascii="黑体" w:hAnsi="黑体" w:eastAsia="黑体"/>
          <w:kern w:val="0"/>
          <w:sz w:val="32"/>
          <w:szCs w:val="32"/>
        </w:rPr>
        <w:t>第四章 附则</w:t>
      </w:r>
    </w:p>
    <w:p w14:paraId="66329AE3">
      <w:pPr>
        <w:keepNext w:val="0"/>
        <w:keepLines w:val="0"/>
        <w:pageBreakBefore w:val="0"/>
        <w:wordWrap/>
        <w:overflowPunct/>
        <w:topLinePunct w:val="0"/>
        <w:bidi w:val="0"/>
        <w:spacing w:line="520" w:lineRule="exact"/>
        <w:ind w:firstLine="640" w:firstLineChars="200"/>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第十四条 </w:t>
      </w:r>
      <w:r>
        <w:rPr>
          <w:rFonts w:hint="eastAsia" w:ascii="仿宋_GB2312" w:eastAsia="仿宋_GB2312" w:cs="仿宋_GB2312"/>
          <w:sz w:val="32"/>
          <w:szCs w:val="32"/>
          <w:lang w:bidi="ar"/>
        </w:rPr>
        <w:t xml:space="preserve">本办法自印发之日起施行，原西北能化经营〔2025〕2号西北能化公司2025年经营管理与监督考核实施意见中附件9《发票、资金支出管理办法》同时废止。 </w:t>
      </w:r>
    </w:p>
    <w:p w14:paraId="3E6CEC07">
      <w:pPr>
        <w:spacing w:line="520" w:lineRule="exact"/>
        <w:ind w:right="-197" w:rightChars="-94"/>
        <w:jc w:val="left"/>
        <w:rPr>
          <w:rFonts w:ascii="仿宋_GB2312" w:eastAsia="仿宋_GB2312"/>
          <w:sz w:val="32"/>
          <w:szCs w:val="32"/>
        </w:rPr>
      </w:pPr>
    </w:p>
    <w:p w14:paraId="73A7A228">
      <w:pPr>
        <w:spacing w:line="520" w:lineRule="exact"/>
        <w:ind w:right="-197" w:rightChars="-94"/>
        <w:jc w:val="left"/>
        <w:rPr>
          <w:rFonts w:ascii="仿宋_GB2312" w:eastAsia="仿宋_GB2312"/>
          <w:sz w:val="32"/>
          <w:szCs w:val="32"/>
        </w:rPr>
      </w:pPr>
    </w:p>
    <w:p w14:paraId="0104BBAA">
      <w:pPr>
        <w:spacing w:line="520" w:lineRule="exact"/>
        <w:ind w:right="-197" w:rightChars="-94"/>
        <w:jc w:val="left"/>
        <w:rPr>
          <w:rFonts w:ascii="仿宋_GB2312" w:eastAsia="仿宋_GB2312"/>
          <w:sz w:val="32"/>
          <w:szCs w:val="32"/>
        </w:rPr>
      </w:pPr>
    </w:p>
    <w:p w14:paraId="2DA02839">
      <w:pPr>
        <w:spacing w:line="520" w:lineRule="exact"/>
        <w:ind w:right="-197" w:rightChars="-94"/>
        <w:jc w:val="left"/>
        <w:rPr>
          <w:rFonts w:ascii="仿宋_GB2312" w:eastAsia="仿宋_GB2312"/>
          <w:sz w:val="32"/>
          <w:szCs w:val="32"/>
        </w:rPr>
      </w:pPr>
    </w:p>
    <w:p w14:paraId="7433E6C6">
      <w:pPr>
        <w:pStyle w:val="14"/>
        <w:ind w:firstLine="640"/>
        <w:rPr>
          <w:rFonts w:ascii="仿宋_GB2312" w:eastAsia="仿宋_GB2312"/>
          <w:sz w:val="32"/>
          <w:szCs w:val="32"/>
        </w:rPr>
      </w:pPr>
    </w:p>
    <w:p w14:paraId="06293DFF">
      <w:pPr>
        <w:pStyle w:val="16"/>
        <w:ind w:firstLine="320"/>
        <w:rPr>
          <w:rFonts w:ascii="仿宋_GB2312" w:eastAsia="仿宋_GB2312"/>
          <w:sz w:val="32"/>
          <w:szCs w:val="32"/>
        </w:rPr>
      </w:pPr>
    </w:p>
    <w:p w14:paraId="3C91096E">
      <w:pPr>
        <w:spacing w:line="520" w:lineRule="exact"/>
        <w:ind w:right="-197" w:rightChars="-94"/>
        <w:jc w:val="left"/>
        <w:rPr>
          <w:rFonts w:hint="eastAsia" w:ascii="仿宋_GB2312" w:eastAsia="仿宋_GB2312"/>
          <w:sz w:val="32"/>
          <w:szCs w:val="32"/>
        </w:rPr>
      </w:pPr>
    </w:p>
    <w:p w14:paraId="40A79C82">
      <w:pPr>
        <w:spacing w:line="520" w:lineRule="exact"/>
        <w:ind w:right="-197" w:rightChars="-94"/>
        <w:jc w:val="left"/>
        <w:rPr>
          <w:rFonts w:hint="eastAsia" w:ascii="仿宋_GB2312" w:eastAsia="仿宋_GB2312"/>
          <w:sz w:val="32"/>
          <w:szCs w:val="32"/>
        </w:rPr>
      </w:pPr>
    </w:p>
    <w:p w14:paraId="4DE949FB">
      <w:pPr>
        <w:spacing w:line="520" w:lineRule="exact"/>
        <w:ind w:right="-197" w:rightChars="-94"/>
        <w:jc w:val="left"/>
        <w:rPr>
          <w:rFonts w:hint="eastAsia" w:ascii="仿宋_GB2312" w:eastAsia="仿宋_GB2312"/>
          <w:sz w:val="32"/>
          <w:szCs w:val="32"/>
        </w:rPr>
      </w:pPr>
    </w:p>
    <w:p w14:paraId="63FA17F0">
      <w:pPr>
        <w:spacing w:line="520" w:lineRule="exact"/>
        <w:ind w:right="-197" w:rightChars="-94"/>
        <w:jc w:val="left"/>
        <w:rPr>
          <w:rFonts w:hint="eastAsia" w:ascii="仿宋_GB2312" w:eastAsia="仿宋_GB2312"/>
          <w:sz w:val="32"/>
          <w:szCs w:val="32"/>
        </w:rPr>
      </w:pPr>
    </w:p>
    <w:p w14:paraId="7EA42171">
      <w:pPr>
        <w:spacing w:line="520" w:lineRule="exact"/>
        <w:ind w:right="-197" w:rightChars="-94"/>
        <w:jc w:val="left"/>
        <w:rPr>
          <w:rFonts w:hint="eastAsia" w:ascii="仿宋_GB2312" w:eastAsia="仿宋_GB2312"/>
          <w:sz w:val="32"/>
          <w:szCs w:val="32"/>
        </w:rPr>
      </w:pPr>
    </w:p>
    <w:p w14:paraId="4958842C">
      <w:pPr>
        <w:spacing w:line="520" w:lineRule="exact"/>
        <w:ind w:right="-197" w:rightChars="-94"/>
        <w:jc w:val="left"/>
        <w:rPr>
          <w:rFonts w:hint="eastAsia" w:ascii="仿宋_GB2312" w:eastAsia="仿宋_GB2312"/>
          <w:sz w:val="32"/>
          <w:szCs w:val="32"/>
        </w:rPr>
      </w:pPr>
    </w:p>
    <w:p w14:paraId="7CB313E0">
      <w:pPr>
        <w:spacing w:line="520" w:lineRule="exact"/>
        <w:ind w:right="-197" w:rightChars="-94"/>
        <w:jc w:val="left"/>
        <w:rPr>
          <w:rFonts w:hint="eastAsia" w:ascii="仿宋_GB2312" w:eastAsia="仿宋_GB2312"/>
          <w:sz w:val="32"/>
          <w:szCs w:val="32"/>
        </w:rPr>
      </w:pPr>
    </w:p>
    <w:p w14:paraId="76654EDF">
      <w:pPr>
        <w:spacing w:line="520" w:lineRule="exact"/>
        <w:ind w:right="-197" w:rightChars="-94"/>
        <w:jc w:val="left"/>
        <w:rPr>
          <w:rFonts w:hint="eastAsia" w:ascii="仿宋_GB2312" w:eastAsia="仿宋_GB2312"/>
          <w:sz w:val="32"/>
          <w:szCs w:val="32"/>
        </w:rPr>
      </w:pPr>
    </w:p>
    <w:p w14:paraId="627A648D">
      <w:pPr>
        <w:spacing w:line="520" w:lineRule="exact"/>
        <w:ind w:right="-197" w:rightChars="-94"/>
        <w:jc w:val="left"/>
        <w:rPr>
          <w:rFonts w:hint="eastAsia" w:ascii="仿宋_GB2312" w:eastAsia="仿宋_GB2312"/>
          <w:sz w:val="32"/>
          <w:szCs w:val="32"/>
        </w:rPr>
      </w:pPr>
    </w:p>
    <w:p w14:paraId="7DC96F72">
      <w:pPr>
        <w:spacing w:line="520" w:lineRule="exact"/>
        <w:ind w:right="-197" w:rightChars="-94"/>
        <w:jc w:val="left"/>
        <w:rPr>
          <w:rFonts w:hint="eastAsia" w:ascii="仿宋_GB2312" w:eastAsia="仿宋_GB2312"/>
          <w:sz w:val="32"/>
          <w:szCs w:val="32"/>
        </w:rPr>
      </w:pPr>
    </w:p>
    <w:p w14:paraId="55A6169A">
      <w:pPr>
        <w:spacing w:line="520" w:lineRule="exact"/>
        <w:ind w:right="-197" w:rightChars="-94"/>
        <w:jc w:val="left"/>
        <w:rPr>
          <w:rFonts w:hint="eastAsia" w:ascii="仿宋_GB2312" w:eastAsia="仿宋_GB2312"/>
          <w:sz w:val="32"/>
          <w:szCs w:val="32"/>
          <w:lang w:val="en-US" w:eastAsia="zh-CN"/>
        </w:rPr>
      </w:pPr>
    </w:p>
    <w:p w14:paraId="27ACD524">
      <w:pPr>
        <w:pStyle w:val="19"/>
        <w:spacing w:line="5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附件7</w:t>
      </w:r>
    </w:p>
    <w:p w14:paraId="54AAE8BE">
      <w:pPr>
        <w:pStyle w:val="19"/>
        <w:spacing w:line="520" w:lineRule="exact"/>
        <w:jc w:val="center"/>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z w:val="44"/>
          <w:szCs w:val="44"/>
        </w:rPr>
        <w:t>2026年差旅费管理办法</w:t>
      </w:r>
    </w:p>
    <w:p w14:paraId="3BAFAF8B">
      <w:pPr>
        <w:widowControl/>
        <w:kinsoku w:val="0"/>
        <w:autoSpaceDE w:val="0"/>
        <w:autoSpaceDN w:val="0"/>
        <w:adjustRightInd w:val="0"/>
        <w:snapToGrid w:val="0"/>
        <w:spacing w:line="520" w:lineRule="exact"/>
        <w:ind w:left="3207"/>
        <w:textAlignment w:val="baseline"/>
        <w:rPr>
          <w:rFonts w:hint="eastAsia" w:ascii="黑体" w:hAnsi="黑体" w:eastAsia="黑体" w:cs="黑体"/>
          <w:snapToGrid w:val="0"/>
          <w:color w:val="000000"/>
          <w:spacing w:val="3"/>
          <w:kern w:val="0"/>
          <w:sz w:val="31"/>
          <w:szCs w:val="31"/>
        </w:rPr>
      </w:pPr>
    </w:p>
    <w:p w14:paraId="708C387F">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b w:val="0"/>
          <w:bCs w:val="0"/>
          <w:sz w:val="32"/>
          <w:szCs w:val="32"/>
        </w:rPr>
      </w:pPr>
      <w:r>
        <w:rPr>
          <w:rFonts w:hint="eastAsia" w:ascii="黑体" w:hAnsi="黑体" w:eastAsia="黑体" w:cs="黑体"/>
          <w:b w:val="0"/>
          <w:bCs w:val="0"/>
          <w:snapToGrid w:val="0"/>
          <w:color w:val="000000"/>
          <w:spacing w:val="3"/>
          <w:kern w:val="0"/>
          <w:sz w:val="32"/>
          <w:szCs w:val="32"/>
        </w:rPr>
        <w:t>第一章 总则</w:t>
      </w:r>
    </w:p>
    <w:p w14:paraId="620E6A0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ascii="仿宋_GB2312" w:eastAsia="仿宋_GB2312" w:cs="仿宋_GB2312"/>
          <w:sz w:val="32"/>
          <w:szCs w:val="32"/>
          <w:lang w:bidi="ar"/>
        </w:rPr>
      </w:pPr>
      <w:r>
        <w:rPr>
          <w:rFonts w:hint="eastAsia" w:ascii="仿宋_GB2312" w:eastAsia="仿宋_GB2312" w:cs="仿宋_GB2312"/>
          <w:sz w:val="32"/>
          <w:szCs w:val="32"/>
          <w:lang w:bidi="ar"/>
        </w:rPr>
        <w:t xml:space="preserve">第一条 </w:t>
      </w:r>
      <w:r>
        <w:rPr>
          <w:rFonts w:hint="eastAsia" w:ascii="仿宋_GB2312" w:eastAsia="仿宋_GB2312" w:cs="仿宋_GB2312"/>
          <w:sz w:val="32"/>
          <w:szCs w:val="32"/>
          <w:lang w:bidi="ar"/>
        </w:rPr>
        <w:t>为深入贯彻落实中央八项规定及其实施细则精神，全面落实国有企业厉行节约过紧日子有关要求，依据《皖北煤电集团公司关于印发差旅费管理办法的通知》（皖北煤电财务〔2024〕234 号）等文件要求，结合本公司实际，制定本办法。</w:t>
      </w:r>
    </w:p>
    <w:p w14:paraId="428867F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第二条 </w:t>
      </w:r>
      <w:r>
        <w:rPr>
          <w:rFonts w:hint="eastAsia" w:ascii="仿宋_GB2312" w:eastAsia="仿宋_GB2312" w:cs="仿宋_GB2312"/>
          <w:sz w:val="32"/>
          <w:szCs w:val="32"/>
          <w:lang w:bidi="ar"/>
        </w:rPr>
        <w:t>本办法所称差旅费用是指公司职工因公到常驻地以外地区公务出差所发生的城市间交通费、住宿费、出差补助（伙食补助和市内交通补助）等。</w:t>
      </w:r>
    </w:p>
    <w:p w14:paraId="261FAC2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第三条 </w:t>
      </w:r>
      <w:r>
        <w:rPr>
          <w:rFonts w:hint="eastAsia" w:ascii="仿宋_GB2312" w:eastAsia="仿宋_GB2312" w:cs="仿宋_GB2312"/>
          <w:sz w:val="32"/>
          <w:szCs w:val="32"/>
          <w:lang w:bidi="ar"/>
        </w:rPr>
        <w:t>严格执行集团公司下达的差旅费预算，坚持“务实，节俭，高效”的原则，统筹管理差旅费的使用，加强费用分解和使用过程管控，确保差旅费支出预算严格受控。</w:t>
      </w:r>
    </w:p>
    <w:p w14:paraId="56D8C687">
      <w:pPr>
        <w:pStyle w:val="14"/>
        <w:keepNext w:val="0"/>
        <w:keepLines w:val="0"/>
        <w:pageBreakBefore w:val="0"/>
        <w:wordWrap/>
        <w:overflowPunct/>
        <w:topLinePunct w:val="0"/>
        <w:bidi w:val="0"/>
        <w:spacing w:line="520" w:lineRule="exact"/>
        <w:ind w:firstLine="640"/>
        <w:rPr>
          <w:sz w:val="32"/>
          <w:szCs w:val="32"/>
        </w:rPr>
      </w:pPr>
    </w:p>
    <w:p w14:paraId="43953EB2">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黑体" w:hAnsi="黑体" w:eastAsia="黑体" w:cs="黑体"/>
          <w:b w:val="0"/>
          <w:bCs w:val="0"/>
          <w:snapToGrid w:val="0"/>
          <w:color w:val="000000"/>
          <w:spacing w:val="3"/>
          <w:kern w:val="0"/>
          <w:sz w:val="32"/>
          <w:szCs w:val="32"/>
        </w:rPr>
      </w:pPr>
      <w:r>
        <w:rPr>
          <w:rFonts w:hint="eastAsia" w:ascii="黑体" w:hAnsi="黑体" w:eastAsia="黑体" w:cs="黑体"/>
          <w:b w:val="0"/>
          <w:bCs w:val="0"/>
          <w:snapToGrid w:val="0"/>
          <w:color w:val="000000"/>
          <w:spacing w:val="3"/>
          <w:kern w:val="0"/>
          <w:sz w:val="32"/>
          <w:szCs w:val="32"/>
        </w:rPr>
        <w:t>第二章 审批管理</w:t>
      </w:r>
    </w:p>
    <w:p w14:paraId="240770D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第四条 </w:t>
      </w:r>
      <w:r>
        <w:rPr>
          <w:rFonts w:hint="eastAsia" w:ascii="仿宋_GB2312" w:eastAsia="仿宋_GB2312" w:cs="仿宋_GB2312"/>
          <w:sz w:val="32"/>
          <w:szCs w:val="32"/>
          <w:lang w:bidi="ar"/>
        </w:rPr>
        <w:t>为强化公务出差管控、严控差旅成本，工作人员出差前需在财务共享平台提交《出差申请单》，完整填报出差人员、事由、地点、时间。</w:t>
      </w:r>
    </w:p>
    <w:p w14:paraId="055925B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工作人员出差需借取备用金的，需在财务共享平台提交《借款单》，完整填报借款人、所属单位、借款类型、金额及借款说明。借款限额按公式计算：人均借款额度＝往返交通费＋行程天数×300元/天＋其他必要费用。</w:t>
      </w:r>
    </w:p>
    <w:p w14:paraId="1D83991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第五条 </w:t>
      </w:r>
      <w:r>
        <w:rPr>
          <w:rFonts w:hint="eastAsia" w:ascii="仿宋_GB2312" w:eastAsia="仿宋_GB2312" w:cs="仿宋_GB2312"/>
          <w:sz w:val="32"/>
          <w:szCs w:val="32"/>
          <w:lang w:bidi="ar"/>
        </w:rPr>
        <w:t>差旅费报销要求：</w:t>
      </w:r>
    </w:p>
    <w:p w14:paraId="0C58C55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（一）经办人员如实取得合法票据。票据信息准确，内容完整，涉及发票的原则上应取得增值税专用发票。</w:t>
      </w:r>
    </w:p>
    <w:p w14:paraId="426222C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（二）经办人员办理出差事项结束，需在财务共享平台提交《差旅费报销单》，电子影像中附发票，外出培训或参加会议的，需附培训或会议文件。</w:t>
      </w:r>
    </w:p>
    <w:p w14:paraId="0FFA83DE">
      <w:pPr>
        <w:pStyle w:val="14"/>
        <w:keepNext w:val="0"/>
        <w:keepLines w:val="0"/>
        <w:pageBreakBefore w:val="0"/>
        <w:wordWrap/>
        <w:overflowPunct/>
        <w:topLinePunct w:val="0"/>
        <w:bidi w:val="0"/>
        <w:spacing w:line="520" w:lineRule="exact"/>
        <w:ind w:firstLine="640"/>
        <w:rPr>
          <w:sz w:val="32"/>
          <w:szCs w:val="32"/>
        </w:rPr>
      </w:pPr>
    </w:p>
    <w:p w14:paraId="7D201704">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黑体" w:hAnsi="黑体" w:eastAsia="黑体" w:cs="黑体"/>
          <w:b w:val="0"/>
          <w:bCs w:val="0"/>
          <w:snapToGrid w:val="0"/>
          <w:color w:val="000000"/>
          <w:spacing w:val="3"/>
          <w:kern w:val="0"/>
          <w:sz w:val="32"/>
          <w:szCs w:val="32"/>
        </w:rPr>
      </w:pPr>
      <w:r>
        <w:rPr>
          <w:rFonts w:hint="eastAsia" w:ascii="黑体" w:hAnsi="黑体" w:eastAsia="黑体" w:cs="黑体"/>
          <w:b w:val="0"/>
          <w:bCs w:val="0"/>
          <w:snapToGrid w:val="0"/>
          <w:color w:val="000000"/>
          <w:spacing w:val="3"/>
          <w:kern w:val="0"/>
          <w:sz w:val="32"/>
          <w:szCs w:val="32"/>
        </w:rPr>
        <w:t>第三章</w:t>
      </w:r>
      <w:r>
        <w:rPr>
          <w:rFonts w:hint="eastAsia" w:ascii="黑体" w:hAnsi="黑体" w:eastAsia="黑体" w:cs="黑体"/>
          <w:b w:val="0"/>
          <w:bCs w:val="0"/>
          <w:snapToGrid w:val="0"/>
          <w:color w:val="000000"/>
          <w:spacing w:val="3"/>
          <w:kern w:val="0"/>
          <w:sz w:val="32"/>
          <w:szCs w:val="32"/>
          <w:lang w:val="en-US" w:eastAsia="zh-CN"/>
        </w:rPr>
        <w:t xml:space="preserve"> </w:t>
      </w:r>
      <w:r>
        <w:rPr>
          <w:rFonts w:hint="eastAsia" w:ascii="黑体" w:hAnsi="黑体" w:eastAsia="黑体" w:cs="黑体"/>
          <w:b w:val="0"/>
          <w:bCs w:val="0"/>
          <w:snapToGrid w:val="0"/>
          <w:color w:val="000000"/>
          <w:spacing w:val="3"/>
          <w:kern w:val="0"/>
          <w:sz w:val="32"/>
          <w:szCs w:val="32"/>
        </w:rPr>
        <w:t>交通费、住宿费和补助报销规定</w:t>
      </w:r>
    </w:p>
    <w:p w14:paraId="77A0280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第六条</w:t>
      </w:r>
      <w:r>
        <w:rPr>
          <w:rFonts w:hint="eastAsia" w:ascii="仿宋_GB2312" w:eastAsia="仿宋_GB2312" w:cs="仿宋_GB2312"/>
          <w:sz w:val="32"/>
          <w:szCs w:val="32"/>
          <w:lang w:val="en-US" w:eastAsia="zh-CN" w:bidi="ar"/>
        </w:rPr>
        <w:t xml:space="preserve"> </w:t>
      </w:r>
      <w:r>
        <w:rPr>
          <w:rFonts w:hint="eastAsia" w:ascii="仿宋_GB2312" w:eastAsia="仿宋_GB2312" w:cs="仿宋_GB2312"/>
          <w:sz w:val="32"/>
          <w:szCs w:val="32"/>
          <w:lang w:bidi="ar"/>
        </w:rPr>
        <w:t>出差人员按照以下规定乘坐交通工具，凭据报销，超标准、超范围费用自理。</w:t>
      </w:r>
    </w:p>
    <w:tbl>
      <w:tblPr>
        <w:tblStyle w:val="21"/>
        <w:tblW w:w="84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1189"/>
        <w:gridCol w:w="1427"/>
        <w:gridCol w:w="1250"/>
        <w:gridCol w:w="1567"/>
        <w:gridCol w:w="1696"/>
      </w:tblGrid>
      <w:tr w14:paraId="6B61F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290" w:type="dxa"/>
            <w:vAlign w:val="center"/>
          </w:tcPr>
          <w:p w14:paraId="2F15A4CE">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职级</w:t>
            </w:r>
          </w:p>
        </w:tc>
        <w:tc>
          <w:tcPr>
            <w:tcW w:w="1189" w:type="dxa"/>
            <w:vAlign w:val="center"/>
          </w:tcPr>
          <w:p w14:paraId="3C3C9184">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火车</w:t>
            </w:r>
          </w:p>
        </w:tc>
        <w:tc>
          <w:tcPr>
            <w:tcW w:w="1427" w:type="dxa"/>
            <w:vAlign w:val="center"/>
          </w:tcPr>
          <w:p w14:paraId="6D0588D2">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高铁动车</w:t>
            </w:r>
          </w:p>
        </w:tc>
        <w:tc>
          <w:tcPr>
            <w:tcW w:w="1250" w:type="dxa"/>
            <w:vAlign w:val="center"/>
          </w:tcPr>
          <w:p w14:paraId="50423AF3">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轮船</w:t>
            </w:r>
          </w:p>
        </w:tc>
        <w:tc>
          <w:tcPr>
            <w:tcW w:w="1567" w:type="dxa"/>
            <w:vAlign w:val="center"/>
          </w:tcPr>
          <w:p w14:paraId="3985E8BC">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飞机</w:t>
            </w:r>
          </w:p>
        </w:tc>
        <w:tc>
          <w:tcPr>
            <w:tcW w:w="1696" w:type="dxa"/>
            <w:vAlign w:val="center"/>
          </w:tcPr>
          <w:p w14:paraId="53EEB834">
            <w:pPr>
              <w:pStyle w:val="20"/>
              <w:widowControl/>
              <w:kinsoku w:val="0"/>
              <w:autoSpaceDE w:val="0"/>
              <w:autoSpaceDN w:val="0"/>
              <w:adjustRightInd w:val="0"/>
              <w:snapToGrid w:val="0"/>
              <w:spacing w:before="306" w:line="60" w:lineRule="exact"/>
              <w:ind w:left="176"/>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其他交通工具</w:t>
            </w:r>
          </w:p>
          <w:p w14:paraId="30BAF8F0">
            <w:pPr>
              <w:pStyle w:val="20"/>
              <w:widowControl/>
              <w:kinsoku w:val="0"/>
              <w:autoSpaceDE w:val="0"/>
              <w:autoSpaceDN w:val="0"/>
              <w:adjustRightInd w:val="0"/>
              <w:snapToGrid w:val="0"/>
              <w:spacing w:before="306" w:line="60" w:lineRule="exact"/>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（不含出租车）</w:t>
            </w:r>
          </w:p>
        </w:tc>
      </w:tr>
      <w:tr w14:paraId="051AB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90" w:type="dxa"/>
            <w:vAlign w:val="center"/>
          </w:tcPr>
          <w:p w14:paraId="7D34C0AD">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处级</w:t>
            </w:r>
          </w:p>
        </w:tc>
        <w:tc>
          <w:tcPr>
            <w:tcW w:w="1189" w:type="dxa"/>
            <w:vAlign w:val="center"/>
          </w:tcPr>
          <w:p w14:paraId="40637ABA">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硬席</w:t>
            </w:r>
          </w:p>
        </w:tc>
        <w:tc>
          <w:tcPr>
            <w:tcW w:w="1427" w:type="dxa"/>
            <w:vAlign w:val="center"/>
          </w:tcPr>
          <w:p w14:paraId="45B2DD1A">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二等座</w:t>
            </w:r>
          </w:p>
        </w:tc>
        <w:tc>
          <w:tcPr>
            <w:tcW w:w="1250" w:type="dxa"/>
            <w:vAlign w:val="center"/>
          </w:tcPr>
          <w:p w14:paraId="5C9FECF5">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三等舱</w:t>
            </w:r>
          </w:p>
        </w:tc>
        <w:tc>
          <w:tcPr>
            <w:tcW w:w="1567" w:type="dxa"/>
            <w:vAlign w:val="center"/>
          </w:tcPr>
          <w:p w14:paraId="38E366F3">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经济舱</w:t>
            </w:r>
          </w:p>
        </w:tc>
        <w:tc>
          <w:tcPr>
            <w:tcW w:w="1696" w:type="dxa"/>
            <w:vAlign w:val="center"/>
          </w:tcPr>
          <w:p w14:paraId="6329EDB2">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凭据报销</w:t>
            </w:r>
          </w:p>
        </w:tc>
      </w:tr>
      <w:tr w14:paraId="33FBF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290" w:type="dxa"/>
            <w:vAlign w:val="center"/>
          </w:tcPr>
          <w:p w14:paraId="0050E0A6">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其他人员</w:t>
            </w:r>
          </w:p>
        </w:tc>
        <w:tc>
          <w:tcPr>
            <w:tcW w:w="1189" w:type="dxa"/>
            <w:vAlign w:val="center"/>
          </w:tcPr>
          <w:p w14:paraId="242DF9FC">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硬席</w:t>
            </w:r>
          </w:p>
        </w:tc>
        <w:tc>
          <w:tcPr>
            <w:tcW w:w="1427" w:type="dxa"/>
            <w:vAlign w:val="center"/>
          </w:tcPr>
          <w:p w14:paraId="188BC11A">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二等座</w:t>
            </w:r>
          </w:p>
        </w:tc>
        <w:tc>
          <w:tcPr>
            <w:tcW w:w="1250" w:type="dxa"/>
            <w:vAlign w:val="center"/>
          </w:tcPr>
          <w:p w14:paraId="75023E2F">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三等舱</w:t>
            </w:r>
          </w:p>
        </w:tc>
        <w:tc>
          <w:tcPr>
            <w:tcW w:w="1567" w:type="dxa"/>
            <w:vAlign w:val="center"/>
          </w:tcPr>
          <w:p w14:paraId="1D6F0744">
            <w:pPr>
              <w:pStyle w:val="20"/>
              <w:widowControl/>
              <w:kinsoku w:val="0"/>
              <w:autoSpaceDE w:val="0"/>
              <w:autoSpaceDN w:val="0"/>
              <w:adjustRightInd w:val="0"/>
              <w:snapToGrid w:val="0"/>
              <w:spacing w:before="306" w:line="60" w:lineRule="exact"/>
              <w:ind w:left="176"/>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经济舱</w:t>
            </w:r>
          </w:p>
          <w:p w14:paraId="1D6525EB">
            <w:pPr>
              <w:pStyle w:val="20"/>
              <w:widowControl/>
              <w:kinsoku w:val="0"/>
              <w:autoSpaceDE w:val="0"/>
              <w:autoSpaceDN w:val="0"/>
              <w:adjustRightInd w:val="0"/>
              <w:snapToGrid w:val="0"/>
              <w:spacing w:before="306" w:line="60" w:lineRule="exact"/>
              <w:ind w:left="176"/>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（事前审批）</w:t>
            </w:r>
          </w:p>
        </w:tc>
        <w:tc>
          <w:tcPr>
            <w:tcW w:w="1696" w:type="dxa"/>
            <w:vAlign w:val="center"/>
          </w:tcPr>
          <w:p w14:paraId="7FE30A8F">
            <w:pPr>
              <w:pStyle w:val="20"/>
              <w:widowControl/>
              <w:kinsoku w:val="0"/>
              <w:autoSpaceDE w:val="0"/>
              <w:autoSpaceDN w:val="0"/>
              <w:adjustRightInd w:val="0"/>
              <w:snapToGrid w:val="0"/>
              <w:spacing w:before="306" w:line="219" w:lineRule="auto"/>
              <w:ind w:left="177"/>
              <w:jc w:val="center"/>
              <w:textAlignment w:val="baseline"/>
              <w:rPr>
                <w:rFonts w:hint="eastAsia"/>
                <w:snapToGrid w:val="0"/>
                <w:color w:val="000000" w:themeColor="text1"/>
                <w:spacing w:val="-6"/>
                <w:kern w:val="0"/>
                <w:lang w:eastAsia="zh-CN"/>
                <w14:textFill>
                  <w14:solidFill>
                    <w14:schemeClr w14:val="tx1"/>
                  </w14:solidFill>
                </w14:textFill>
              </w:rPr>
            </w:pPr>
            <w:r>
              <w:rPr>
                <w:rFonts w:hint="eastAsia"/>
                <w:snapToGrid w:val="0"/>
                <w:color w:val="000000" w:themeColor="text1"/>
                <w:spacing w:val="-6"/>
                <w:kern w:val="0"/>
                <w:lang w:eastAsia="zh-CN"/>
                <w14:textFill>
                  <w14:solidFill>
                    <w14:schemeClr w14:val="tx1"/>
                  </w14:solidFill>
                </w14:textFill>
              </w:rPr>
              <w:t>凭据报销</w:t>
            </w:r>
          </w:p>
        </w:tc>
      </w:tr>
    </w:tbl>
    <w:p w14:paraId="405D5A5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公司领导陪同集团领导视察、调研、检查等，可按集团领导所乘交通工具等级陪同乘坐。同时需履行出差审批程序。</w:t>
      </w:r>
    </w:p>
    <w:p w14:paraId="151600B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其他人员因公务紧急需乘坐飞机或乘坐飞机票价明显小于乘坐其他交通工具的，需在《出差申请单》中说明，经事前审批，未经批准乘坐飞机的按出差报销标准规定执行。</w:t>
      </w:r>
    </w:p>
    <w:p w14:paraId="0666485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出差途中所发生的订票费、手续费、小件寄存费、退票费等在不超过票面金额的20%范围内凭据报销。</w:t>
      </w:r>
    </w:p>
    <w:p w14:paraId="14FB0EA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乘坐飞机、火车、轮船等交通工具的，每人次可以报销交通意外保险一份。</w:t>
      </w:r>
    </w:p>
    <w:p w14:paraId="392C4C4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第七条 </w:t>
      </w:r>
      <w:r>
        <w:rPr>
          <w:rFonts w:hint="eastAsia" w:ascii="仿宋_GB2312" w:eastAsia="仿宋_GB2312" w:cs="仿宋_GB2312"/>
          <w:sz w:val="32"/>
          <w:szCs w:val="32"/>
          <w:lang w:bidi="ar"/>
        </w:rPr>
        <w:t>住宿费报销规定</w:t>
      </w:r>
    </w:p>
    <w:p w14:paraId="5406F69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工作人员出差住宿报销标准详见《西北能化公司差旅住宿费标准表》（附</w:t>
      </w:r>
      <w:r>
        <w:rPr>
          <w:rFonts w:hint="eastAsia" w:ascii="仿宋_GB2312" w:eastAsia="仿宋_GB2312" w:cs="仿宋_GB2312"/>
          <w:sz w:val="32"/>
          <w:szCs w:val="32"/>
          <w:lang w:val="en-US" w:eastAsia="zh-CN" w:bidi="ar"/>
        </w:rPr>
        <w:t>表</w:t>
      </w:r>
      <w:r>
        <w:rPr>
          <w:rFonts w:hint="eastAsia" w:ascii="仿宋_GB2312" w:eastAsia="仿宋_GB2312" w:cs="仿宋_GB2312"/>
          <w:sz w:val="32"/>
          <w:szCs w:val="32"/>
          <w:lang w:bidi="ar"/>
        </w:rPr>
        <w:t>1）。</w:t>
      </w:r>
    </w:p>
    <w:p w14:paraId="36329F7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住宿费在规定标准内凭票据实报销，超标准部分一律由个人承担。</w:t>
      </w:r>
    </w:p>
    <w:p w14:paraId="0E0695A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参加会议、短期培训等出差活动</w:t>
      </w:r>
      <w:r>
        <w:rPr>
          <w:rFonts w:hint="eastAsia" w:ascii="仿宋_GB2312" w:eastAsia="仿宋_GB2312" w:cs="仿宋_GB2312"/>
          <w:sz w:val="32"/>
          <w:szCs w:val="32"/>
          <w:lang w:eastAsia="zh-CN" w:bidi="ar"/>
        </w:rPr>
        <w:t>，</w:t>
      </w:r>
      <w:r>
        <w:rPr>
          <w:rFonts w:hint="eastAsia" w:ascii="仿宋_GB2312" w:eastAsia="仿宋_GB2312" w:cs="仿宋_GB2312"/>
          <w:sz w:val="32"/>
          <w:szCs w:val="32"/>
          <w:lang w:bidi="ar"/>
        </w:rPr>
        <w:t>统一安排食宿，依据经审批的会议、培训通知及接待单位的正规发票报销。</w:t>
      </w:r>
    </w:p>
    <w:p w14:paraId="1BD1FFE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因处理紧急公务（抢险救灾、安全生产事故等突发事件）、参加旗、市及以上政府部门组织的集体公务活动且统一安排住宿、出差目的地举办大型活动导致住宿价格大幅上涨等特殊情况的，须经公司主要领导同意审批后可据实报销差旅费。</w:t>
      </w:r>
    </w:p>
    <w:p w14:paraId="4358059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第八条 </w:t>
      </w:r>
      <w:r>
        <w:rPr>
          <w:rFonts w:hint="eastAsia" w:ascii="仿宋_GB2312" w:eastAsia="仿宋_GB2312" w:cs="仿宋_GB2312"/>
          <w:sz w:val="32"/>
          <w:szCs w:val="32"/>
          <w:lang w:bidi="ar"/>
        </w:rPr>
        <w:t>伙食补助和交通补助报销规定</w:t>
      </w:r>
    </w:p>
    <w:p w14:paraId="568A709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交通补助省内30元/天，省外50元/天；伙食补助100元/天。</w:t>
      </w:r>
    </w:p>
    <w:p w14:paraId="531C6A7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出差期间就餐、交通报销票据和伙食、交通补助不可同时享受。报票无补助（报票每人不超过100元/天），补助不报票。</w:t>
      </w:r>
    </w:p>
    <w:p w14:paraId="6E36AD0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伙食补助和交通补助按规定计算。按出差日历天数计算补助，或者在补助标准内报销途中餐费和交通费。</w:t>
      </w:r>
    </w:p>
    <w:p w14:paraId="58C01C0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以下情况不予计发相应补助</w:t>
      </w:r>
    </w:p>
    <w:p w14:paraId="00C76FD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（一）参加集团公司外部会议、短期培训（1个月内）等出差活动，如统一安排食宿，只计发交通补助，不计发伙食补助，往返当天按差旅费报销管理规定计发交通补助及伙食补助。</w:t>
      </w:r>
    </w:p>
    <w:p w14:paraId="1D4E0283">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去集团公司所属省内（内蒙古自治区内）单位学习、培训、会议、调研、检查等活动，不发放伙食补助及交通补助；去集团公司省外（内蒙古自治区外）单位出差，予以报销往返途中的伙食费用，报销金额不超过每人100元/天，或按标准给予补助。</w:t>
      </w:r>
    </w:p>
    <w:p w14:paraId="392B67B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 第九条 </w:t>
      </w:r>
      <w:r>
        <w:rPr>
          <w:rFonts w:hint="eastAsia" w:ascii="仿宋_GB2312" w:eastAsia="仿宋_GB2312" w:cs="仿宋_GB2312"/>
          <w:sz w:val="32"/>
          <w:szCs w:val="32"/>
          <w:lang w:bidi="ar"/>
        </w:rPr>
        <w:t>招聘院校毕业生及退役军人等可报销从毕业学校、居住地、集团公司至公司单程交通费。</w:t>
      </w:r>
    </w:p>
    <w:p w14:paraId="4978916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第十条 </w:t>
      </w:r>
      <w:r>
        <w:rPr>
          <w:rFonts w:hint="eastAsia" w:ascii="仿宋_GB2312" w:eastAsia="仿宋_GB2312" w:cs="仿宋_GB2312"/>
          <w:sz w:val="32"/>
          <w:szCs w:val="32"/>
          <w:lang w:bidi="ar"/>
        </w:rPr>
        <w:t>出差人员在出差期间，非工作需要而开支的费用，均由个人自理，非工作需要而产生的行程不计补助。</w:t>
      </w:r>
    </w:p>
    <w:p w14:paraId="49B34F6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第十一条 </w:t>
      </w:r>
      <w:r>
        <w:rPr>
          <w:rFonts w:hint="eastAsia" w:ascii="仿宋_GB2312" w:eastAsia="仿宋_GB2312" w:cs="仿宋_GB2312"/>
          <w:sz w:val="32"/>
          <w:szCs w:val="32"/>
          <w:lang w:bidi="ar"/>
        </w:rPr>
        <w:t>参加集团公司会议、培训后休假的，或休假期间出差的，不予报销休假期间单程差旅费。</w:t>
      </w:r>
    </w:p>
    <w:p w14:paraId="29B27C0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p>
    <w:p w14:paraId="65290621">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黑体" w:hAnsi="黑体" w:eastAsia="黑体" w:cs="黑体"/>
          <w:b w:val="0"/>
          <w:bCs w:val="0"/>
          <w:snapToGrid w:val="0"/>
          <w:color w:val="000000"/>
          <w:spacing w:val="3"/>
          <w:kern w:val="0"/>
          <w:sz w:val="32"/>
          <w:szCs w:val="32"/>
        </w:rPr>
      </w:pPr>
      <w:r>
        <w:rPr>
          <w:rFonts w:hint="eastAsia" w:ascii="黑体" w:hAnsi="黑体" w:eastAsia="黑体" w:cs="黑体"/>
          <w:b w:val="0"/>
          <w:bCs w:val="0"/>
          <w:snapToGrid w:val="0"/>
          <w:color w:val="000000"/>
          <w:spacing w:val="3"/>
          <w:kern w:val="0"/>
          <w:sz w:val="32"/>
          <w:szCs w:val="32"/>
        </w:rPr>
        <w:t>第四章 监督检查</w:t>
      </w:r>
    </w:p>
    <w:p w14:paraId="66DD54E3">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第十</w:t>
      </w:r>
      <w:r>
        <w:rPr>
          <w:rFonts w:hint="eastAsia" w:ascii="仿宋_GB2312" w:eastAsia="仿宋_GB2312" w:cs="仿宋_GB2312"/>
          <w:sz w:val="32"/>
          <w:szCs w:val="32"/>
          <w:lang w:val="en-US" w:eastAsia="zh-CN" w:bidi="ar"/>
        </w:rPr>
        <w:t>二</w:t>
      </w:r>
      <w:r>
        <w:rPr>
          <w:rFonts w:hint="eastAsia" w:ascii="仿宋_GB2312" w:eastAsia="仿宋_GB2312" w:cs="仿宋_GB2312"/>
          <w:sz w:val="32"/>
          <w:szCs w:val="32"/>
          <w:lang w:bidi="ar"/>
        </w:rPr>
        <w:t>条 严肃财经纪律，如发现在差旅费报销中弄虚作假， 损公肥私，将依照有关规定追究相关部门及人员责任。</w:t>
      </w:r>
    </w:p>
    <w:p w14:paraId="288A168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p>
    <w:p w14:paraId="284BB9CF">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黑体" w:hAnsi="黑体" w:eastAsia="黑体" w:cs="黑体"/>
          <w:b w:val="0"/>
          <w:bCs w:val="0"/>
          <w:snapToGrid w:val="0"/>
          <w:color w:val="000000"/>
          <w:spacing w:val="3"/>
          <w:kern w:val="0"/>
          <w:sz w:val="32"/>
          <w:szCs w:val="32"/>
        </w:rPr>
      </w:pPr>
      <w:r>
        <w:rPr>
          <w:rFonts w:hint="eastAsia" w:ascii="黑体" w:hAnsi="黑体" w:eastAsia="黑体" w:cs="黑体"/>
          <w:b w:val="0"/>
          <w:bCs w:val="0"/>
          <w:snapToGrid w:val="0"/>
          <w:color w:val="000000"/>
          <w:spacing w:val="3"/>
          <w:kern w:val="0"/>
          <w:sz w:val="32"/>
          <w:szCs w:val="32"/>
        </w:rPr>
        <w:t>第五章</w:t>
      </w:r>
      <w:r>
        <w:rPr>
          <w:rFonts w:hint="eastAsia" w:ascii="黑体" w:hAnsi="黑体" w:eastAsia="黑体" w:cs="黑体"/>
          <w:b w:val="0"/>
          <w:bCs w:val="0"/>
          <w:snapToGrid w:val="0"/>
          <w:color w:val="000000"/>
          <w:spacing w:val="3"/>
          <w:kern w:val="0"/>
          <w:sz w:val="32"/>
          <w:szCs w:val="32"/>
          <w:lang w:val="en-US" w:eastAsia="zh-CN"/>
        </w:rPr>
        <w:t xml:space="preserve"> </w:t>
      </w:r>
      <w:r>
        <w:rPr>
          <w:rFonts w:hint="eastAsia" w:ascii="黑体" w:hAnsi="黑体" w:eastAsia="黑体" w:cs="黑体"/>
          <w:b w:val="0"/>
          <w:bCs w:val="0"/>
          <w:snapToGrid w:val="0"/>
          <w:color w:val="000000"/>
          <w:spacing w:val="3"/>
          <w:kern w:val="0"/>
          <w:sz w:val="32"/>
          <w:szCs w:val="32"/>
        </w:rPr>
        <w:t>附则</w:t>
      </w:r>
    </w:p>
    <w:p w14:paraId="2190A55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第十</w:t>
      </w:r>
      <w:r>
        <w:rPr>
          <w:rFonts w:hint="eastAsia" w:ascii="仿宋_GB2312" w:eastAsia="仿宋_GB2312" w:cs="仿宋_GB2312"/>
          <w:sz w:val="32"/>
          <w:szCs w:val="32"/>
          <w:lang w:val="en-US" w:eastAsia="zh-CN" w:bidi="ar"/>
        </w:rPr>
        <w:t>三</w:t>
      </w:r>
      <w:r>
        <w:rPr>
          <w:rFonts w:hint="eastAsia" w:ascii="仿宋_GB2312" w:eastAsia="仿宋_GB2312" w:cs="仿宋_GB2312"/>
          <w:sz w:val="32"/>
          <w:szCs w:val="32"/>
          <w:lang w:bidi="ar"/>
        </w:rPr>
        <w:t xml:space="preserve">条 </w:t>
      </w:r>
      <w:r>
        <w:rPr>
          <w:rFonts w:hint="eastAsia" w:ascii="仿宋_GB2312" w:eastAsia="仿宋_GB2312" w:cs="仿宋_GB2312"/>
          <w:sz w:val="32"/>
          <w:szCs w:val="32"/>
          <w:lang w:bidi="ar"/>
        </w:rPr>
        <w:t>本办法由公司财务部负责解释。</w:t>
      </w:r>
    </w:p>
    <w:p w14:paraId="16A6357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第十四条 </w:t>
      </w:r>
      <w:r>
        <w:rPr>
          <w:rFonts w:hint="eastAsia" w:ascii="仿宋_GB2312" w:eastAsia="仿宋_GB2312" w:cs="仿宋_GB2312"/>
          <w:sz w:val="32"/>
          <w:szCs w:val="32"/>
          <w:lang w:bidi="ar"/>
        </w:rPr>
        <w:t>本办法自印发之日起执行。原西北能化经营〔2025〕2号西北能化公司2025年经营管理与监督考核实施意见中附件10《差旅费管理办法》同时废止。</w:t>
      </w:r>
    </w:p>
    <w:p w14:paraId="11F85B0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p>
    <w:p w14:paraId="540A62F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附表：</w:t>
      </w:r>
      <w:r>
        <w:rPr>
          <w:rFonts w:hint="eastAsia" w:ascii="仿宋_GB2312" w:eastAsia="仿宋_GB2312" w:cs="仿宋_GB2312"/>
          <w:sz w:val="32"/>
          <w:szCs w:val="32"/>
          <w:lang w:val="en-US" w:eastAsia="zh-CN" w:bidi="ar"/>
        </w:rPr>
        <w:t>1.西北能化公司差旅住宿费标准表</w:t>
      </w:r>
    </w:p>
    <w:p w14:paraId="7CDF3124">
      <w:pPr>
        <w:keepNext w:val="0"/>
        <w:keepLines w:val="0"/>
        <w:pageBreakBefore w:val="0"/>
        <w:widowControl w:val="0"/>
        <w:kinsoku/>
        <w:wordWrap/>
        <w:overflowPunct/>
        <w:topLinePunct w:val="0"/>
        <w:autoSpaceDE/>
        <w:autoSpaceDN/>
        <w:bidi w:val="0"/>
        <w:adjustRightInd/>
        <w:snapToGrid/>
        <w:spacing w:line="520" w:lineRule="exact"/>
        <w:ind w:firstLine="1600" w:firstLineChars="500"/>
        <w:jc w:val="left"/>
        <w:textAlignment w:val="auto"/>
        <w:rPr>
          <w:rFonts w:hint="eastAsia" w:ascii="仿宋_GB2312" w:eastAsia="仿宋_GB2312" w:cs="仿宋_GB2312"/>
          <w:sz w:val="32"/>
          <w:szCs w:val="32"/>
          <w:lang w:val="en-US" w:eastAsia="zh-CN" w:bidi="ar"/>
        </w:rPr>
      </w:pPr>
      <w:r>
        <w:rPr>
          <w:rFonts w:hint="eastAsia" w:ascii="仿宋_GB2312" w:eastAsia="仿宋_GB2312" w:cs="仿宋_GB2312"/>
          <w:sz w:val="32"/>
          <w:szCs w:val="32"/>
          <w:lang w:val="en-US" w:eastAsia="zh-CN" w:bidi="ar"/>
        </w:rPr>
        <w:t>2.差旅发票票样</w:t>
      </w:r>
    </w:p>
    <w:p w14:paraId="1B6EABAF">
      <w:pPr>
        <w:keepNext w:val="0"/>
        <w:keepLines w:val="0"/>
        <w:pageBreakBefore w:val="0"/>
        <w:widowControl w:val="0"/>
        <w:kinsoku/>
        <w:wordWrap/>
        <w:overflowPunct/>
        <w:topLinePunct w:val="0"/>
        <w:autoSpaceDE/>
        <w:autoSpaceDN/>
        <w:bidi w:val="0"/>
        <w:adjustRightInd/>
        <w:snapToGrid/>
        <w:spacing w:line="520" w:lineRule="exact"/>
        <w:ind w:firstLine="1600" w:firstLineChars="500"/>
        <w:jc w:val="left"/>
        <w:textAlignment w:val="auto"/>
        <w:rPr>
          <w:rFonts w:hint="eastAsia" w:ascii="仿宋_GB2312" w:eastAsia="仿宋_GB2312" w:cs="仿宋_GB2312"/>
          <w:sz w:val="32"/>
          <w:szCs w:val="32"/>
          <w:lang w:bidi="ar"/>
        </w:rPr>
      </w:pPr>
    </w:p>
    <w:p w14:paraId="1D3AF1AF">
      <w:pPr>
        <w:keepNext w:val="0"/>
        <w:keepLines w:val="0"/>
        <w:pageBreakBefore w:val="0"/>
        <w:wordWrap/>
        <w:overflowPunct/>
        <w:topLinePunct w:val="0"/>
        <w:bidi w:val="0"/>
        <w:spacing w:before="101" w:line="520" w:lineRule="exact"/>
        <w:ind w:firstLine="640" w:firstLineChars="200"/>
        <w:rPr>
          <w:rFonts w:hint="eastAsia" w:ascii="仿宋_GB2312" w:eastAsia="仿宋_GB2312" w:cs="仿宋_GB2312"/>
          <w:sz w:val="32"/>
          <w:szCs w:val="32"/>
          <w:lang w:bidi="ar"/>
        </w:rPr>
      </w:pPr>
    </w:p>
    <w:p w14:paraId="5248A0B3">
      <w:pPr>
        <w:keepNext w:val="0"/>
        <w:keepLines w:val="0"/>
        <w:pageBreakBefore w:val="0"/>
        <w:wordWrap/>
        <w:overflowPunct/>
        <w:topLinePunct w:val="0"/>
        <w:bidi w:val="0"/>
        <w:spacing w:line="520" w:lineRule="exact"/>
        <w:rPr>
          <w:rFonts w:hint="eastAsia" w:ascii="黑体" w:hAnsi="黑体" w:eastAsia="黑体" w:cs="黑体"/>
          <w:color w:val="000000" w:themeColor="text1"/>
          <w:sz w:val="32"/>
          <w:szCs w:val="32"/>
          <w14:textFill>
            <w14:solidFill>
              <w14:schemeClr w14:val="tx1"/>
            </w14:solidFill>
          </w14:textFill>
        </w:rPr>
      </w:pPr>
    </w:p>
    <w:p w14:paraId="325B499D">
      <w:pPr>
        <w:pStyle w:val="14"/>
        <w:keepNext w:val="0"/>
        <w:keepLines w:val="0"/>
        <w:pageBreakBefore w:val="0"/>
        <w:wordWrap/>
        <w:overflowPunct/>
        <w:topLinePunct w:val="0"/>
        <w:bidi w:val="0"/>
        <w:spacing w:line="520" w:lineRule="exact"/>
        <w:ind w:left="0" w:leftChars="0" w:firstLine="0" w:firstLineChars="0"/>
        <w:rPr>
          <w:rFonts w:hint="eastAsia" w:ascii="黑体" w:hAnsi="黑体" w:eastAsia="黑体" w:cs="黑体"/>
          <w:color w:val="000000" w:themeColor="text1"/>
          <w:sz w:val="28"/>
          <w:szCs w:val="28"/>
          <w14:textFill>
            <w14:solidFill>
              <w14:schemeClr w14:val="tx1"/>
            </w14:solidFill>
          </w14:textFill>
        </w:rPr>
      </w:pPr>
    </w:p>
    <w:p w14:paraId="787A825A">
      <w:pPr>
        <w:rPr>
          <w:rFonts w:hint="eastAsia"/>
          <w:color w:val="000000" w:themeColor="text1"/>
          <w:sz w:val="28"/>
          <w:szCs w:val="28"/>
          <w14:textFill>
            <w14:solidFill>
              <w14:schemeClr w14:val="tx1"/>
            </w14:solidFill>
          </w14:textFill>
        </w:rPr>
      </w:pPr>
    </w:p>
    <w:p w14:paraId="4FD2C2D6">
      <w:pPr>
        <w:rPr>
          <w:rFonts w:hint="eastAsia"/>
          <w:color w:val="000000" w:themeColor="text1"/>
          <w:sz w:val="28"/>
          <w:szCs w:val="28"/>
          <w14:textFill>
            <w14:solidFill>
              <w14:schemeClr w14:val="tx1"/>
            </w14:solidFill>
          </w14:textFill>
        </w:rPr>
      </w:pPr>
    </w:p>
    <w:p w14:paraId="1E6A8CC8">
      <w:pPr>
        <w:rPr>
          <w:rFonts w:hint="eastAsia"/>
          <w:color w:val="000000" w:themeColor="text1"/>
          <w:sz w:val="28"/>
          <w:szCs w:val="28"/>
          <w14:textFill>
            <w14:solidFill>
              <w14:schemeClr w14:val="tx1"/>
            </w14:solidFill>
          </w14:textFill>
        </w:rPr>
      </w:pPr>
    </w:p>
    <w:p w14:paraId="1BEE5CE7">
      <w:pPr>
        <w:rPr>
          <w:rFonts w:hint="eastAsia"/>
          <w:color w:val="000000" w:themeColor="text1"/>
          <w:sz w:val="28"/>
          <w:szCs w:val="28"/>
          <w14:textFill>
            <w14:solidFill>
              <w14:schemeClr w14:val="tx1"/>
            </w14:solidFill>
          </w14:textFill>
        </w:rPr>
      </w:pPr>
    </w:p>
    <w:p w14:paraId="2B6C3058">
      <w:pPr>
        <w:rPr>
          <w:rFonts w:hint="eastAsia"/>
          <w:color w:val="000000" w:themeColor="text1"/>
          <w:sz w:val="28"/>
          <w:szCs w:val="28"/>
          <w14:textFill>
            <w14:solidFill>
              <w14:schemeClr w14:val="tx1"/>
            </w14:solidFill>
          </w14:textFill>
        </w:rPr>
      </w:pPr>
    </w:p>
    <w:p w14:paraId="706F7A6B">
      <w:pPr>
        <w:rPr>
          <w:rFonts w:hint="eastAsia"/>
          <w:color w:val="000000" w:themeColor="text1"/>
          <w:sz w:val="28"/>
          <w:szCs w:val="28"/>
          <w14:textFill>
            <w14:solidFill>
              <w14:schemeClr w14:val="tx1"/>
            </w14:solidFill>
          </w14:textFill>
        </w:rPr>
      </w:pPr>
    </w:p>
    <w:p w14:paraId="353D1310">
      <w:pPr>
        <w:rPr>
          <w:rFonts w:hint="eastAsia"/>
          <w:color w:val="000000" w:themeColor="text1"/>
          <w:sz w:val="28"/>
          <w:szCs w:val="28"/>
          <w14:textFill>
            <w14:solidFill>
              <w14:schemeClr w14:val="tx1"/>
            </w14:solidFill>
          </w14:textFill>
        </w:rPr>
      </w:pPr>
    </w:p>
    <w:p w14:paraId="43FA0B41">
      <w:pPr>
        <w:rPr>
          <w:rFonts w:hint="eastAsia"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附表1</w:t>
      </w:r>
    </w:p>
    <w:p w14:paraId="79CEC931">
      <w:pPr>
        <w:jc w:val="center"/>
        <w:rPr>
          <w:rFonts w:hint="eastAsia"/>
          <w:color w:val="000000" w:themeColor="text1"/>
          <w:sz w:val="28"/>
          <w:szCs w:val="28"/>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西北能化公司差旅住宿费标准表</w:t>
      </w:r>
    </w:p>
    <w:p w14:paraId="6A8E8A76">
      <w:pPr>
        <w:ind w:firstLine="1400" w:firstLineChars="500"/>
        <w:jc w:val="righ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单位：元</w:t>
      </w:r>
    </w:p>
    <w:tbl>
      <w:tblPr>
        <w:tblStyle w:val="10"/>
        <w:tblW w:w="7883" w:type="dxa"/>
        <w:tblInd w:w="367" w:type="dxa"/>
        <w:tblLayout w:type="fixed"/>
        <w:tblCellMar>
          <w:top w:w="0" w:type="dxa"/>
          <w:left w:w="108" w:type="dxa"/>
          <w:bottom w:w="0" w:type="dxa"/>
          <w:right w:w="108" w:type="dxa"/>
        </w:tblCellMar>
      </w:tblPr>
      <w:tblGrid>
        <w:gridCol w:w="1066"/>
        <w:gridCol w:w="1384"/>
        <w:gridCol w:w="1533"/>
        <w:gridCol w:w="1350"/>
        <w:gridCol w:w="2550"/>
      </w:tblGrid>
      <w:tr w14:paraId="1F0F0742">
        <w:tblPrEx>
          <w:tblCellMar>
            <w:top w:w="0" w:type="dxa"/>
            <w:left w:w="108" w:type="dxa"/>
            <w:bottom w:w="0" w:type="dxa"/>
            <w:right w:w="108" w:type="dxa"/>
          </w:tblCellMar>
        </w:tblPrEx>
        <w:trPr>
          <w:trHeight w:val="285" w:hRule="atLeast"/>
        </w:trPr>
        <w:tc>
          <w:tcPr>
            <w:tcW w:w="1066" w:type="dxa"/>
            <w:vMerge w:val="restart"/>
            <w:tcBorders>
              <w:top w:val="single" w:color="000000" w:sz="4" w:space="0"/>
              <w:left w:val="single" w:color="000000" w:sz="4" w:space="0"/>
              <w:bottom w:val="single" w:color="000000" w:sz="4" w:space="0"/>
              <w:right w:val="single" w:color="000000" w:sz="4" w:space="0"/>
            </w:tcBorders>
            <w:vAlign w:val="center"/>
          </w:tcPr>
          <w:p w14:paraId="7962C680">
            <w:pPr>
              <w:widowControl/>
              <w:jc w:val="center"/>
              <w:textAlignment w:val="center"/>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序号</w:t>
            </w:r>
          </w:p>
        </w:tc>
        <w:tc>
          <w:tcPr>
            <w:tcW w:w="1384" w:type="dxa"/>
            <w:vMerge w:val="restart"/>
            <w:tcBorders>
              <w:top w:val="single" w:color="000000" w:sz="4" w:space="0"/>
              <w:left w:val="single" w:color="000000" w:sz="4" w:space="0"/>
              <w:bottom w:val="single" w:color="000000" w:sz="4" w:space="0"/>
              <w:right w:val="single" w:color="000000" w:sz="4" w:space="0"/>
            </w:tcBorders>
            <w:vAlign w:val="center"/>
          </w:tcPr>
          <w:p w14:paraId="5D662372">
            <w:pPr>
              <w:widowControl/>
              <w:jc w:val="center"/>
              <w:textAlignment w:val="center"/>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地区</w:t>
            </w:r>
          </w:p>
        </w:tc>
        <w:tc>
          <w:tcPr>
            <w:tcW w:w="2883" w:type="dxa"/>
            <w:gridSpan w:val="2"/>
            <w:tcBorders>
              <w:top w:val="single" w:color="000000" w:sz="4" w:space="0"/>
              <w:left w:val="single" w:color="000000" w:sz="4" w:space="0"/>
              <w:bottom w:val="single" w:color="000000" w:sz="4" w:space="0"/>
              <w:right w:val="single" w:color="000000" w:sz="4" w:space="0"/>
            </w:tcBorders>
            <w:vAlign w:val="center"/>
          </w:tcPr>
          <w:p w14:paraId="326AAB80">
            <w:pPr>
              <w:widowControl/>
              <w:jc w:val="center"/>
              <w:textAlignment w:val="center"/>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住宿费标准</w:t>
            </w:r>
          </w:p>
        </w:tc>
        <w:tc>
          <w:tcPr>
            <w:tcW w:w="2550" w:type="dxa"/>
            <w:vMerge w:val="restart"/>
            <w:tcBorders>
              <w:top w:val="single" w:color="000000" w:sz="4" w:space="0"/>
              <w:left w:val="single" w:color="000000" w:sz="4" w:space="0"/>
              <w:bottom w:val="single" w:color="000000" w:sz="4" w:space="0"/>
              <w:right w:val="single" w:color="000000" w:sz="4" w:space="0"/>
            </w:tcBorders>
            <w:vAlign w:val="center"/>
          </w:tcPr>
          <w:p w14:paraId="4142143C">
            <w:pPr>
              <w:widowControl/>
              <w:jc w:val="center"/>
              <w:textAlignment w:val="center"/>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备注</w:t>
            </w:r>
          </w:p>
        </w:tc>
      </w:tr>
      <w:tr w14:paraId="77D67972">
        <w:tblPrEx>
          <w:tblCellMar>
            <w:top w:w="0" w:type="dxa"/>
            <w:left w:w="108" w:type="dxa"/>
            <w:bottom w:w="0" w:type="dxa"/>
            <w:right w:w="108" w:type="dxa"/>
          </w:tblCellMar>
        </w:tblPrEx>
        <w:trPr>
          <w:trHeight w:val="285" w:hRule="atLeast"/>
        </w:trPr>
        <w:tc>
          <w:tcPr>
            <w:tcW w:w="1066" w:type="dxa"/>
            <w:vMerge w:val="continue"/>
            <w:tcBorders>
              <w:top w:val="single" w:color="000000" w:sz="4" w:space="0"/>
              <w:left w:val="single" w:color="000000" w:sz="4" w:space="0"/>
              <w:bottom w:val="single" w:color="000000" w:sz="4" w:space="0"/>
              <w:right w:val="single" w:color="000000" w:sz="4" w:space="0"/>
            </w:tcBorders>
            <w:vAlign w:val="center"/>
          </w:tcPr>
          <w:p w14:paraId="1E963111">
            <w:pPr>
              <w:jc w:val="center"/>
              <w:rPr>
                <w:rFonts w:hint="eastAsia" w:ascii="宋体" w:hAnsi="宋体" w:cs="宋体"/>
                <w:color w:val="000000" w:themeColor="text1"/>
                <w:sz w:val="24"/>
                <w14:textFill>
                  <w14:solidFill>
                    <w14:schemeClr w14:val="tx1"/>
                  </w14:solidFill>
                </w14:textFill>
              </w:rPr>
            </w:pPr>
          </w:p>
        </w:tc>
        <w:tc>
          <w:tcPr>
            <w:tcW w:w="1384" w:type="dxa"/>
            <w:vMerge w:val="continue"/>
            <w:tcBorders>
              <w:top w:val="single" w:color="000000" w:sz="4" w:space="0"/>
              <w:left w:val="single" w:color="000000" w:sz="4" w:space="0"/>
              <w:bottom w:val="single" w:color="000000" w:sz="4" w:space="0"/>
              <w:right w:val="single" w:color="000000" w:sz="4" w:space="0"/>
            </w:tcBorders>
            <w:vAlign w:val="center"/>
          </w:tcPr>
          <w:p w14:paraId="02E51499">
            <w:pPr>
              <w:jc w:val="center"/>
              <w:rPr>
                <w:rFonts w:hint="eastAsia" w:ascii="宋体" w:hAnsi="宋体" w:cs="宋体"/>
                <w:color w:val="000000" w:themeColor="text1"/>
                <w:sz w:val="24"/>
                <w14:textFill>
                  <w14:solidFill>
                    <w14:schemeClr w14:val="tx1"/>
                  </w14:solidFill>
                </w14:textFill>
              </w:rPr>
            </w:pPr>
          </w:p>
        </w:tc>
        <w:tc>
          <w:tcPr>
            <w:tcW w:w="1533" w:type="dxa"/>
            <w:tcBorders>
              <w:top w:val="single" w:color="000000" w:sz="4" w:space="0"/>
              <w:left w:val="single" w:color="000000" w:sz="4" w:space="0"/>
              <w:bottom w:val="single" w:color="000000" w:sz="4" w:space="0"/>
              <w:right w:val="single" w:color="000000" w:sz="4" w:space="0"/>
            </w:tcBorders>
            <w:vAlign w:val="center"/>
          </w:tcPr>
          <w:p w14:paraId="2953E6A2">
            <w:pPr>
              <w:widowControl/>
              <w:jc w:val="center"/>
              <w:textAlignment w:val="center"/>
              <w:rPr>
                <w:rStyle w:val="22"/>
                <w:rFonts w:hint="default" w:hAnsi="Times New Roman"/>
                <w:color w:val="000000" w:themeColor="text1"/>
                <w:lang w:bidi="ar"/>
                <w14:textFill>
                  <w14:solidFill>
                    <w14:schemeClr w14:val="tx1"/>
                  </w14:solidFill>
                </w14:textFill>
              </w:rPr>
            </w:pPr>
            <w:r>
              <w:rPr>
                <w:rStyle w:val="22"/>
                <w:rFonts w:hAnsi="Times New Roman"/>
                <w:color w:val="000000" w:themeColor="text1"/>
                <w:lang w:bidi="ar"/>
                <w14:textFill>
                  <w14:solidFill>
                    <w14:schemeClr w14:val="tx1"/>
                  </w14:solidFill>
                </w14:textFill>
              </w:rPr>
              <w:t>处级干部</w:t>
            </w:r>
          </w:p>
        </w:tc>
        <w:tc>
          <w:tcPr>
            <w:tcW w:w="1350" w:type="dxa"/>
            <w:tcBorders>
              <w:top w:val="single" w:color="000000" w:sz="4" w:space="0"/>
              <w:left w:val="single" w:color="000000" w:sz="4" w:space="0"/>
              <w:bottom w:val="single" w:color="000000" w:sz="4" w:space="0"/>
              <w:right w:val="single" w:color="000000" w:sz="4" w:space="0"/>
            </w:tcBorders>
            <w:vAlign w:val="center"/>
          </w:tcPr>
          <w:p w14:paraId="12C39F69">
            <w:pPr>
              <w:widowControl/>
              <w:jc w:val="center"/>
              <w:textAlignment w:val="center"/>
              <w:rPr>
                <w:rStyle w:val="22"/>
                <w:rFonts w:hint="default" w:hAnsi="Times New Roman"/>
                <w:color w:val="000000" w:themeColor="text1"/>
                <w:lang w:bidi="ar"/>
                <w14:textFill>
                  <w14:solidFill>
                    <w14:schemeClr w14:val="tx1"/>
                  </w14:solidFill>
                </w14:textFill>
              </w:rPr>
            </w:pPr>
            <w:r>
              <w:rPr>
                <w:rStyle w:val="22"/>
                <w:rFonts w:hAnsi="Times New Roman"/>
                <w:color w:val="000000" w:themeColor="text1"/>
                <w:lang w:bidi="ar"/>
                <w14:textFill>
                  <w14:solidFill>
                    <w14:schemeClr w14:val="tx1"/>
                  </w14:solidFill>
                </w14:textFill>
              </w:rPr>
              <w:t>其他人员</w:t>
            </w:r>
          </w:p>
        </w:tc>
        <w:tc>
          <w:tcPr>
            <w:tcW w:w="2550" w:type="dxa"/>
            <w:vMerge w:val="continue"/>
            <w:tcBorders>
              <w:top w:val="single" w:color="000000" w:sz="4" w:space="0"/>
              <w:left w:val="single" w:color="000000" w:sz="4" w:space="0"/>
              <w:bottom w:val="single" w:color="000000" w:sz="4" w:space="0"/>
              <w:right w:val="single" w:color="000000" w:sz="4" w:space="0"/>
            </w:tcBorders>
            <w:vAlign w:val="center"/>
          </w:tcPr>
          <w:p w14:paraId="75C73F5B">
            <w:pPr>
              <w:jc w:val="center"/>
              <w:rPr>
                <w:rFonts w:hint="eastAsia" w:ascii="宋体" w:hAnsi="宋体" w:cs="宋体"/>
                <w:color w:val="000000" w:themeColor="text1"/>
                <w:sz w:val="24"/>
                <w14:textFill>
                  <w14:solidFill>
                    <w14:schemeClr w14:val="tx1"/>
                  </w14:solidFill>
                </w14:textFill>
              </w:rPr>
            </w:pPr>
          </w:p>
        </w:tc>
      </w:tr>
      <w:tr w14:paraId="24BC6206">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79FE002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w:t>
            </w:r>
          </w:p>
        </w:tc>
        <w:tc>
          <w:tcPr>
            <w:tcW w:w="1384" w:type="dxa"/>
            <w:tcBorders>
              <w:top w:val="single" w:color="000000" w:sz="4" w:space="0"/>
              <w:left w:val="single" w:color="000000" w:sz="4" w:space="0"/>
              <w:bottom w:val="single" w:color="000000" w:sz="4" w:space="0"/>
              <w:right w:val="single" w:color="000000" w:sz="4" w:space="0"/>
            </w:tcBorders>
          </w:tcPr>
          <w:p w14:paraId="2057B341">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北京市</w:t>
            </w:r>
          </w:p>
        </w:tc>
        <w:tc>
          <w:tcPr>
            <w:tcW w:w="1533" w:type="dxa"/>
            <w:tcBorders>
              <w:top w:val="single" w:color="000000" w:sz="4" w:space="0"/>
              <w:left w:val="single" w:color="000000" w:sz="4" w:space="0"/>
              <w:bottom w:val="single" w:color="000000" w:sz="4" w:space="0"/>
              <w:right w:val="single" w:color="000000" w:sz="4" w:space="0"/>
            </w:tcBorders>
          </w:tcPr>
          <w:p w14:paraId="5F84802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1350" w:type="dxa"/>
            <w:tcBorders>
              <w:top w:val="single" w:color="000000" w:sz="4" w:space="0"/>
              <w:left w:val="single" w:color="000000" w:sz="4" w:space="0"/>
              <w:bottom w:val="single" w:color="000000" w:sz="4" w:space="0"/>
              <w:right w:val="single" w:color="000000" w:sz="4" w:space="0"/>
            </w:tcBorders>
          </w:tcPr>
          <w:p w14:paraId="79364E0F">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2550" w:type="dxa"/>
            <w:tcBorders>
              <w:top w:val="single" w:color="000000" w:sz="4" w:space="0"/>
              <w:left w:val="single" w:color="000000" w:sz="4" w:space="0"/>
              <w:bottom w:val="single" w:color="000000" w:sz="4" w:space="0"/>
              <w:right w:val="single" w:color="000000" w:sz="4" w:space="0"/>
            </w:tcBorders>
          </w:tcPr>
          <w:p w14:paraId="335D7E20">
            <w:pPr>
              <w:rPr>
                <w:rFonts w:ascii="Arial" w:hAnsi="Arial" w:cs="Arial"/>
                <w:color w:val="000000" w:themeColor="text1"/>
                <w:szCs w:val="21"/>
                <w14:textFill>
                  <w14:solidFill>
                    <w14:schemeClr w14:val="tx1"/>
                  </w14:solidFill>
                </w14:textFill>
              </w:rPr>
            </w:pPr>
          </w:p>
        </w:tc>
      </w:tr>
      <w:tr w14:paraId="71991BC6">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6A09563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w:t>
            </w:r>
          </w:p>
        </w:tc>
        <w:tc>
          <w:tcPr>
            <w:tcW w:w="1384" w:type="dxa"/>
            <w:tcBorders>
              <w:top w:val="single" w:color="000000" w:sz="4" w:space="0"/>
              <w:left w:val="single" w:color="000000" w:sz="4" w:space="0"/>
              <w:bottom w:val="single" w:color="000000" w:sz="4" w:space="0"/>
              <w:right w:val="single" w:color="000000" w:sz="4" w:space="0"/>
            </w:tcBorders>
          </w:tcPr>
          <w:p w14:paraId="033CAA17">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天津市</w:t>
            </w:r>
          </w:p>
        </w:tc>
        <w:tc>
          <w:tcPr>
            <w:tcW w:w="1533" w:type="dxa"/>
            <w:tcBorders>
              <w:top w:val="single" w:color="000000" w:sz="4" w:space="0"/>
              <w:left w:val="single" w:color="000000" w:sz="4" w:space="0"/>
              <w:bottom w:val="single" w:color="000000" w:sz="4" w:space="0"/>
              <w:right w:val="single" w:color="000000" w:sz="4" w:space="0"/>
            </w:tcBorders>
          </w:tcPr>
          <w:p w14:paraId="4955D36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7C9AEB5B">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5E43FEF6">
            <w:pPr>
              <w:rPr>
                <w:rFonts w:ascii="Arial" w:hAnsi="Arial" w:cs="Arial"/>
                <w:color w:val="000000" w:themeColor="text1"/>
                <w:szCs w:val="21"/>
                <w14:textFill>
                  <w14:solidFill>
                    <w14:schemeClr w14:val="tx1"/>
                  </w14:solidFill>
                </w14:textFill>
              </w:rPr>
            </w:pPr>
          </w:p>
        </w:tc>
      </w:tr>
      <w:tr w14:paraId="105BC02E">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9CB772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w:t>
            </w:r>
          </w:p>
        </w:tc>
        <w:tc>
          <w:tcPr>
            <w:tcW w:w="1384" w:type="dxa"/>
            <w:tcBorders>
              <w:top w:val="single" w:color="000000" w:sz="4" w:space="0"/>
              <w:left w:val="single" w:color="000000" w:sz="4" w:space="0"/>
              <w:bottom w:val="single" w:color="000000" w:sz="4" w:space="0"/>
              <w:right w:val="single" w:color="000000" w:sz="4" w:space="0"/>
            </w:tcBorders>
          </w:tcPr>
          <w:p w14:paraId="2DA74007">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河北省</w:t>
            </w:r>
          </w:p>
        </w:tc>
        <w:tc>
          <w:tcPr>
            <w:tcW w:w="1533" w:type="dxa"/>
            <w:tcBorders>
              <w:top w:val="single" w:color="000000" w:sz="4" w:space="0"/>
              <w:left w:val="single" w:color="000000" w:sz="4" w:space="0"/>
              <w:bottom w:val="single" w:color="000000" w:sz="4" w:space="0"/>
              <w:right w:val="single" w:color="000000" w:sz="4" w:space="0"/>
            </w:tcBorders>
          </w:tcPr>
          <w:p w14:paraId="0450281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121F6C4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5A8A8D4E">
            <w:pPr>
              <w:rPr>
                <w:rFonts w:ascii="Arial" w:hAnsi="Arial" w:cs="Arial"/>
                <w:color w:val="000000" w:themeColor="text1"/>
                <w:szCs w:val="21"/>
                <w14:textFill>
                  <w14:solidFill>
                    <w14:schemeClr w14:val="tx1"/>
                  </w14:solidFill>
                </w14:textFill>
              </w:rPr>
            </w:pPr>
          </w:p>
        </w:tc>
      </w:tr>
      <w:tr w14:paraId="5A80A176">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2AE86C3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4</w:t>
            </w:r>
          </w:p>
        </w:tc>
        <w:tc>
          <w:tcPr>
            <w:tcW w:w="1384" w:type="dxa"/>
            <w:tcBorders>
              <w:top w:val="single" w:color="000000" w:sz="4" w:space="0"/>
              <w:left w:val="single" w:color="000000" w:sz="4" w:space="0"/>
              <w:bottom w:val="single" w:color="000000" w:sz="4" w:space="0"/>
              <w:right w:val="single" w:color="000000" w:sz="4" w:space="0"/>
            </w:tcBorders>
          </w:tcPr>
          <w:p w14:paraId="318B7895">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山西省</w:t>
            </w:r>
          </w:p>
        </w:tc>
        <w:tc>
          <w:tcPr>
            <w:tcW w:w="1533" w:type="dxa"/>
            <w:tcBorders>
              <w:top w:val="single" w:color="000000" w:sz="4" w:space="0"/>
              <w:left w:val="single" w:color="000000" w:sz="4" w:space="0"/>
              <w:bottom w:val="single" w:color="000000" w:sz="4" w:space="0"/>
              <w:right w:val="single" w:color="000000" w:sz="4" w:space="0"/>
            </w:tcBorders>
          </w:tcPr>
          <w:p w14:paraId="4E9DAB5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11C41AA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2B403D69">
            <w:pPr>
              <w:rPr>
                <w:rFonts w:ascii="Arial" w:hAnsi="Arial" w:cs="Arial"/>
                <w:color w:val="000000" w:themeColor="text1"/>
                <w:szCs w:val="21"/>
                <w14:textFill>
                  <w14:solidFill>
                    <w14:schemeClr w14:val="tx1"/>
                  </w14:solidFill>
                </w14:textFill>
              </w:rPr>
            </w:pPr>
          </w:p>
        </w:tc>
      </w:tr>
      <w:tr w14:paraId="388EB200">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3BF0E2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5</w:t>
            </w:r>
          </w:p>
        </w:tc>
        <w:tc>
          <w:tcPr>
            <w:tcW w:w="1384" w:type="dxa"/>
            <w:tcBorders>
              <w:top w:val="single" w:color="000000" w:sz="4" w:space="0"/>
              <w:left w:val="single" w:color="000000" w:sz="4" w:space="0"/>
              <w:bottom w:val="single" w:color="000000" w:sz="4" w:space="0"/>
              <w:right w:val="single" w:color="000000" w:sz="4" w:space="0"/>
            </w:tcBorders>
          </w:tcPr>
          <w:p w14:paraId="238F93D0">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内蒙古</w:t>
            </w:r>
          </w:p>
        </w:tc>
        <w:tc>
          <w:tcPr>
            <w:tcW w:w="1533" w:type="dxa"/>
            <w:tcBorders>
              <w:top w:val="single" w:color="000000" w:sz="4" w:space="0"/>
              <w:left w:val="single" w:color="000000" w:sz="4" w:space="0"/>
              <w:bottom w:val="single" w:color="000000" w:sz="4" w:space="0"/>
              <w:right w:val="single" w:color="000000" w:sz="4" w:space="0"/>
            </w:tcBorders>
          </w:tcPr>
          <w:p w14:paraId="562666A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1A3C270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10B2DB2B">
            <w:pPr>
              <w:rPr>
                <w:rFonts w:ascii="Arial" w:hAnsi="Arial" w:cs="Arial"/>
                <w:color w:val="000000" w:themeColor="text1"/>
                <w:szCs w:val="21"/>
                <w14:textFill>
                  <w14:solidFill>
                    <w14:schemeClr w14:val="tx1"/>
                  </w14:solidFill>
                </w14:textFill>
              </w:rPr>
            </w:pPr>
          </w:p>
        </w:tc>
      </w:tr>
      <w:tr w14:paraId="2ACEEA5D">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554F786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w:t>
            </w:r>
          </w:p>
        </w:tc>
        <w:tc>
          <w:tcPr>
            <w:tcW w:w="1384" w:type="dxa"/>
            <w:tcBorders>
              <w:top w:val="single" w:color="000000" w:sz="4" w:space="0"/>
              <w:left w:val="single" w:color="000000" w:sz="4" w:space="0"/>
              <w:bottom w:val="single" w:color="000000" w:sz="4" w:space="0"/>
              <w:right w:val="single" w:color="000000" w:sz="4" w:space="0"/>
            </w:tcBorders>
          </w:tcPr>
          <w:p w14:paraId="64C9D490">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辽宁省</w:t>
            </w:r>
          </w:p>
        </w:tc>
        <w:tc>
          <w:tcPr>
            <w:tcW w:w="1533" w:type="dxa"/>
            <w:tcBorders>
              <w:top w:val="single" w:color="000000" w:sz="4" w:space="0"/>
              <w:left w:val="single" w:color="000000" w:sz="4" w:space="0"/>
              <w:bottom w:val="single" w:color="000000" w:sz="4" w:space="0"/>
              <w:right w:val="single" w:color="000000" w:sz="4" w:space="0"/>
            </w:tcBorders>
          </w:tcPr>
          <w:p w14:paraId="2DEC826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6553D7C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5C89BAC4">
            <w:pPr>
              <w:rPr>
                <w:rFonts w:ascii="Arial" w:hAnsi="Arial" w:cs="Arial"/>
                <w:color w:val="000000" w:themeColor="text1"/>
                <w:szCs w:val="21"/>
                <w14:textFill>
                  <w14:solidFill>
                    <w14:schemeClr w14:val="tx1"/>
                  </w14:solidFill>
                </w14:textFill>
              </w:rPr>
            </w:pPr>
          </w:p>
        </w:tc>
      </w:tr>
      <w:tr w14:paraId="17996CC2">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5F01C09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7</w:t>
            </w:r>
          </w:p>
        </w:tc>
        <w:tc>
          <w:tcPr>
            <w:tcW w:w="1384" w:type="dxa"/>
            <w:tcBorders>
              <w:top w:val="single" w:color="000000" w:sz="4" w:space="0"/>
              <w:left w:val="single" w:color="000000" w:sz="4" w:space="0"/>
              <w:bottom w:val="single" w:color="000000" w:sz="4" w:space="0"/>
              <w:right w:val="single" w:color="000000" w:sz="4" w:space="0"/>
            </w:tcBorders>
          </w:tcPr>
          <w:p w14:paraId="6146FDCE">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大连市</w:t>
            </w:r>
          </w:p>
        </w:tc>
        <w:tc>
          <w:tcPr>
            <w:tcW w:w="1533" w:type="dxa"/>
            <w:tcBorders>
              <w:top w:val="single" w:color="000000" w:sz="4" w:space="0"/>
              <w:left w:val="single" w:color="000000" w:sz="4" w:space="0"/>
              <w:bottom w:val="single" w:color="000000" w:sz="4" w:space="0"/>
              <w:right w:val="single" w:color="000000" w:sz="4" w:space="0"/>
            </w:tcBorders>
          </w:tcPr>
          <w:p w14:paraId="7B83BF91">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085927E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5F5D4127">
            <w:pPr>
              <w:widowControl/>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7-9 </w:t>
            </w:r>
            <w:r>
              <w:rPr>
                <w:rStyle w:val="22"/>
                <w:rFonts w:hint="default"/>
                <w:color w:val="000000" w:themeColor="text1"/>
                <w:sz w:val="21"/>
                <w:szCs w:val="21"/>
                <w:lang w:bidi="ar"/>
                <w14:textFill>
                  <w14:solidFill>
                    <w14:schemeClr w14:val="tx1"/>
                  </w14:solidFill>
                </w14:textFill>
              </w:rPr>
              <w:t xml:space="preserve">月份价格上浮 </w:t>
            </w:r>
            <w:r>
              <w:rPr>
                <w:rStyle w:val="23"/>
                <w:color w:val="000000" w:themeColor="text1"/>
                <w:sz w:val="21"/>
                <w:szCs w:val="21"/>
                <w:lang w:bidi="ar"/>
                <w14:textFill>
                  <w14:solidFill>
                    <w14:schemeClr w14:val="tx1"/>
                  </w14:solidFill>
                </w14:textFill>
              </w:rPr>
              <w:t>20%</w:t>
            </w:r>
          </w:p>
        </w:tc>
      </w:tr>
      <w:tr w14:paraId="13CDFD3E">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73EDFE0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8</w:t>
            </w:r>
          </w:p>
        </w:tc>
        <w:tc>
          <w:tcPr>
            <w:tcW w:w="1384" w:type="dxa"/>
            <w:tcBorders>
              <w:top w:val="single" w:color="000000" w:sz="4" w:space="0"/>
              <w:left w:val="single" w:color="000000" w:sz="4" w:space="0"/>
              <w:bottom w:val="single" w:color="000000" w:sz="4" w:space="0"/>
              <w:right w:val="single" w:color="000000" w:sz="4" w:space="0"/>
            </w:tcBorders>
          </w:tcPr>
          <w:p w14:paraId="0C38460A">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吉林省</w:t>
            </w:r>
          </w:p>
        </w:tc>
        <w:tc>
          <w:tcPr>
            <w:tcW w:w="1533" w:type="dxa"/>
            <w:tcBorders>
              <w:top w:val="single" w:color="000000" w:sz="4" w:space="0"/>
              <w:left w:val="single" w:color="000000" w:sz="4" w:space="0"/>
              <w:bottom w:val="single" w:color="000000" w:sz="4" w:space="0"/>
              <w:right w:val="single" w:color="000000" w:sz="4" w:space="0"/>
            </w:tcBorders>
          </w:tcPr>
          <w:p w14:paraId="65E3B74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6BFB5A9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24CE277F">
            <w:pPr>
              <w:rPr>
                <w:rFonts w:ascii="Arial" w:hAnsi="Arial" w:cs="Arial"/>
                <w:color w:val="000000" w:themeColor="text1"/>
                <w:szCs w:val="21"/>
                <w14:textFill>
                  <w14:solidFill>
                    <w14:schemeClr w14:val="tx1"/>
                  </w14:solidFill>
                </w14:textFill>
              </w:rPr>
            </w:pPr>
          </w:p>
        </w:tc>
      </w:tr>
      <w:tr w14:paraId="0459CC3A">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6078FFA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9</w:t>
            </w:r>
          </w:p>
        </w:tc>
        <w:tc>
          <w:tcPr>
            <w:tcW w:w="1384" w:type="dxa"/>
            <w:tcBorders>
              <w:top w:val="single" w:color="000000" w:sz="4" w:space="0"/>
              <w:left w:val="single" w:color="000000" w:sz="4" w:space="0"/>
              <w:bottom w:val="single" w:color="000000" w:sz="4" w:space="0"/>
              <w:right w:val="single" w:color="000000" w:sz="4" w:space="0"/>
            </w:tcBorders>
          </w:tcPr>
          <w:p w14:paraId="1CF47220">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黑龙江省</w:t>
            </w:r>
          </w:p>
        </w:tc>
        <w:tc>
          <w:tcPr>
            <w:tcW w:w="1533" w:type="dxa"/>
            <w:tcBorders>
              <w:top w:val="single" w:color="000000" w:sz="4" w:space="0"/>
              <w:left w:val="single" w:color="000000" w:sz="4" w:space="0"/>
              <w:bottom w:val="single" w:color="000000" w:sz="4" w:space="0"/>
              <w:right w:val="single" w:color="000000" w:sz="4" w:space="0"/>
            </w:tcBorders>
          </w:tcPr>
          <w:p w14:paraId="68CB01E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4F14D14F">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6CAEAE18">
            <w:pPr>
              <w:widowControl/>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7-9 </w:t>
            </w:r>
            <w:r>
              <w:rPr>
                <w:rStyle w:val="22"/>
                <w:rFonts w:hint="default"/>
                <w:color w:val="000000" w:themeColor="text1"/>
                <w:sz w:val="21"/>
                <w:szCs w:val="21"/>
                <w:lang w:bidi="ar"/>
                <w14:textFill>
                  <w14:solidFill>
                    <w14:schemeClr w14:val="tx1"/>
                  </w14:solidFill>
                </w14:textFill>
              </w:rPr>
              <w:t xml:space="preserve">月份价格上浮 </w:t>
            </w:r>
            <w:r>
              <w:rPr>
                <w:rStyle w:val="23"/>
                <w:color w:val="000000" w:themeColor="text1"/>
                <w:sz w:val="21"/>
                <w:szCs w:val="21"/>
                <w:lang w:bidi="ar"/>
                <w14:textFill>
                  <w14:solidFill>
                    <w14:schemeClr w14:val="tx1"/>
                  </w14:solidFill>
                </w14:textFill>
              </w:rPr>
              <w:t>20%</w:t>
            </w:r>
          </w:p>
        </w:tc>
      </w:tr>
      <w:tr w14:paraId="1ACF3AA4">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03FC8A2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10</w:t>
            </w:r>
          </w:p>
        </w:tc>
        <w:tc>
          <w:tcPr>
            <w:tcW w:w="1384" w:type="dxa"/>
            <w:tcBorders>
              <w:top w:val="single" w:color="000000" w:sz="4" w:space="0"/>
              <w:left w:val="single" w:color="000000" w:sz="4" w:space="0"/>
              <w:bottom w:val="single" w:color="000000" w:sz="4" w:space="0"/>
              <w:right w:val="single" w:color="000000" w:sz="4" w:space="0"/>
            </w:tcBorders>
          </w:tcPr>
          <w:p w14:paraId="0A4C3BFB">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上海市</w:t>
            </w:r>
          </w:p>
        </w:tc>
        <w:tc>
          <w:tcPr>
            <w:tcW w:w="1533" w:type="dxa"/>
            <w:tcBorders>
              <w:top w:val="single" w:color="000000" w:sz="4" w:space="0"/>
              <w:left w:val="single" w:color="000000" w:sz="4" w:space="0"/>
              <w:bottom w:val="single" w:color="000000" w:sz="4" w:space="0"/>
              <w:right w:val="single" w:color="000000" w:sz="4" w:space="0"/>
            </w:tcBorders>
          </w:tcPr>
          <w:p w14:paraId="29A5C8C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1350" w:type="dxa"/>
            <w:tcBorders>
              <w:top w:val="single" w:color="000000" w:sz="4" w:space="0"/>
              <w:left w:val="single" w:color="000000" w:sz="4" w:space="0"/>
              <w:bottom w:val="single" w:color="000000" w:sz="4" w:space="0"/>
              <w:right w:val="single" w:color="000000" w:sz="4" w:space="0"/>
            </w:tcBorders>
          </w:tcPr>
          <w:p w14:paraId="5815384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2550" w:type="dxa"/>
            <w:tcBorders>
              <w:top w:val="single" w:color="000000" w:sz="4" w:space="0"/>
              <w:left w:val="single" w:color="000000" w:sz="4" w:space="0"/>
              <w:bottom w:val="single" w:color="000000" w:sz="4" w:space="0"/>
              <w:right w:val="single" w:color="000000" w:sz="4" w:space="0"/>
            </w:tcBorders>
          </w:tcPr>
          <w:p w14:paraId="411D443A">
            <w:pPr>
              <w:rPr>
                <w:rFonts w:ascii="Arial" w:hAnsi="Arial" w:cs="Arial"/>
                <w:color w:val="000000" w:themeColor="text1"/>
                <w:szCs w:val="21"/>
                <w14:textFill>
                  <w14:solidFill>
                    <w14:schemeClr w14:val="tx1"/>
                  </w14:solidFill>
                </w14:textFill>
              </w:rPr>
            </w:pPr>
          </w:p>
        </w:tc>
      </w:tr>
      <w:tr w14:paraId="209BB433">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B0969B1">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11</w:t>
            </w:r>
          </w:p>
        </w:tc>
        <w:tc>
          <w:tcPr>
            <w:tcW w:w="1384" w:type="dxa"/>
            <w:tcBorders>
              <w:top w:val="single" w:color="000000" w:sz="4" w:space="0"/>
              <w:left w:val="single" w:color="000000" w:sz="4" w:space="0"/>
              <w:bottom w:val="single" w:color="000000" w:sz="4" w:space="0"/>
              <w:right w:val="single" w:color="000000" w:sz="4" w:space="0"/>
            </w:tcBorders>
          </w:tcPr>
          <w:p w14:paraId="5328630C">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江苏省</w:t>
            </w:r>
          </w:p>
        </w:tc>
        <w:tc>
          <w:tcPr>
            <w:tcW w:w="1533" w:type="dxa"/>
            <w:tcBorders>
              <w:top w:val="single" w:color="000000" w:sz="4" w:space="0"/>
              <w:left w:val="single" w:color="000000" w:sz="4" w:space="0"/>
              <w:bottom w:val="single" w:color="000000" w:sz="4" w:space="0"/>
              <w:right w:val="single" w:color="000000" w:sz="4" w:space="0"/>
            </w:tcBorders>
          </w:tcPr>
          <w:p w14:paraId="4F6CA298">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15A675E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2E05690C">
            <w:pPr>
              <w:rPr>
                <w:rFonts w:ascii="Arial" w:hAnsi="Arial" w:cs="Arial"/>
                <w:color w:val="000000" w:themeColor="text1"/>
                <w:szCs w:val="21"/>
                <w14:textFill>
                  <w14:solidFill>
                    <w14:schemeClr w14:val="tx1"/>
                  </w14:solidFill>
                </w14:textFill>
              </w:rPr>
            </w:pPr>
          </w:p>
        </w:tc>
      </w:tr>
      <w:tr w14:paraId="0BBFE0D0">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05CBCE8">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12</w:t>
            </w:r>
          </w:p>
        </w:tc>
        <w:tc>
          <w:tcPr>
            <w:tcW w:w="1384" w:type="dxa"/>
            <w:tcBorders>
              <w:top w:val="single" w:color="000000" w:sz="4" w:space="0"/>
              <w:left w:val="single" w:color="000000" w:sz="4" w:space="0"/>
              <w:bottom w:val="single" w:color="000000" w:sz="4" w:space="0"/>
              <w:right w:val="single" w:color="000000" w:sz="4" w:space="0"/>
            </w:tcBorders>
          </w:tcPr>
          <w:p w14:paraId="50C7C27C">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浙江省</w:t>
            </w:r>
          </w:p>
        </w:tc>
        <w:tc>
          <w:tcPr>
            <w:tcW w:w="1533" w:type="dxa"/>
            <w:tcBorders>
              <w:top w:val="single" w:color="000000" w:sz="4" w:space="0"/>
              <w:left w:val="single" w:color="000000" w:sz="4" w:space="0"/>
              <w:bottom w:val="single" w:color="000000" w:sz="4" w:space="0"/>
              <w:right w:val="single" w:color="000000" w:sz="4" w:space="0"/>
            </w:tcBorders>
          </w:tcPr>
          <w:p w14:paraId="1A7CDD5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400</w:t>
            </w:r>
          </w:p>
        </w:tc>
        <w:tc>
          <w:tcPr>
            <w:tcW w:w="1350" w:type="dxa"/>
            <w:tcBorders>
              <w:top w:val="single" w:color="000000" w:sz="4" w:space="0"/>
              <w:left w:val="single" w:color="000000" w:sz="4" w:space="0"/>
              <w:bottom w:val="single" w:color="000000" w:sz="4" w:space="0"/>
              <w:right w:val="single" w:color="000000" w:sz="4" w:space="0"/>
            </w:tcBorders>
          </w:tcPr>
          <w:p w14:paraId="4344720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2550" w:type="dxa"/>
            <w:tcBorders>
              <w:top w:val="single" w:color="000000" w:sz="4" w:space="0"/>
              <w:left w:val="single" w:color="000000" w:sz="4" w:space="0"/>
              <w:bottom w:val="single" w:color="000000" w:sz="4" w:space="0"/>
              <w:right w:val="single" w:color="000000" w:sz="4" w:space="0"/>
            </w:tcBorders>
          </w:tcPr>
          <w:p w14:paraId="33D84AF1">
            <w:pPr>
              <w:rPr>
                <w:rFonts w:ascii="Arial" w:hAnsi="Arial" w:cs="Arial"/>
                <w:color w:val="000000" w:themeColor="text1"/>
                <w:szCs w:val="21"/>
                <w14:textFill>
                  <w14:solidFill>
                    <w14:schemeClr w14:val="tx1"/>
                  </w14:solidFill>
                </w14:textFill>
              </w:rPr>
            </w:pPr>
          </w:p>
        </w:tc>
      </w:tr>
      <w:tr w14:paraId="5A713C31">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5B20363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13</w:t>
            </w:r>
          </w:p>
        </w:tc>
        <w:tc>
          <w:tcPr>
            <w:tcW w:w="1384" w:type="dxa"/>
            <w:tcBorders>
              <w:top w:val="single" w:color="000000" w:sz="4" w:space="0"/>
              <w:left w:val="single" w:color="000000" w:sz="4" w:space="0"/>
              <w:bottom w:val="single" w:color="000000" w:sz="4" w:space="0"/>
              <w:right w:val="single" w:color="000000" w:sz="4" w:space="0"/>
            </w:tcBorders>
          </w:tcPr>
          <w:p w14:paraId="7DCC0390">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宁波市</w:t>
            </w:r>
          </w:p>
        </w:tc>
        <w:tc>
          <w:tcPr>
            <w:tcW w:w="1533" w:type="dxa"/>
            <w:tcBorders>
              <w:top w:val="single" w:color="000000" w:sz="4" w:space="0"/>
              <w:left w:val="single" w:color="000000" w:sz="4" w:space="0"/>
              <w:bottom w:val="single" w:color="000000" w:sz="4" w:space="0"/>
              <w:right w:val="single" w:color="000000" w:sz="4" w:space="0"/>
            </w:tcBorders>
          </w:tcPr>
          <w:p w14:paraId="16B19EA1">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371F4EF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47246631">
            <w:pPr>
              <w:rPr>
                <w:rFonts w:ascii="Arial" w:hAnsi="Arial" w:cs="Arial"/>
                <w:color w:val="000000" w:themeColor="text1"/>
                <w:szCs w:val="21"/>
                <w14:textFill>
                  <w14:solidFill>
                    <w14:schemeClr w14:val="tx1"/>
                  </w14:solidFill>
                </w14:textFill>
              </w:rPr>
            </w:pPr>
          </w:p>
        </w:tc>
      </w:tr>
      <w:tr w14:paraId="2710F828">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451F0E33">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14</w:t>
            </w:r>
          </w:p>
        </w:tc>
        <w:tc>
          <w:tcPr>
            <w:tcW w:w="1384" w:type="dxa"/>
            <w:tcBorders>
              <w:top w:val="single" w:color="000000" w:sz="4" w:space="0"/>
              <w:left w:val="single" w:color="000000" w:sz="4" w:space="0"/>
              <w:bottom w:val="single" w:color="000000" w:sz="4" w:space="0"/>
              <w:right w:val="single" w:color="000000" w:sz="4" w:space="0"/>
            </w:tcBorders>
          </w:tcPr>
          <w:p w14:paraId="537091AB">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安徽省</w:t>
            </w:r>
          </w:p>
        </w:tc>
        <w:tc>
          <w:tcPr>
            <w:tcW w:w="1533" w:type="dxa"/>
            <w:tcBorders>
              <w:top w:val="single" w:color="000000" w:sz="4" w:space="0"/>
              <w:left w:val="single" w:color="000000" w:sz="4" w:space="0"/>
              <w:bottom w:val="single" w:color="000000" w:sz="4" w:space="0"/>
              <w:right w:val="single" w:color="000000" w:sz="4" w:space="0"/>
            </w:tcBorders>
          </w:tcPr>
          <w:p w14:paraId="2091307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7CFD8C9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26084A23">
            <w:pPr>
              <w:rPr>
                <w:rFonts w:ascii="Arial" w:hAnsi="Arial" w:cs="Arial"/>
                <w:color w:val="000000" w:themeColor="text1"/>
                <w:szCs w:val="21"/>
                <w14:textFill>
                  <w14:solidFill>
                    <w14:schemeClr w14:val="tx1"/>
                  </w14:solidFill>
                </w14:textFill>
              </w:rPr>
            </w:pPr>
          </w:p>
        </w:tc>
      </w:tr>
      <w:tr w14:paraId="393CDB52">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510CEF65">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15</w:t>
            </w:r>
          </w:p>
        </w:tc>
        <w:tc>
          <w:tcPr>
            <w:tcW w:w="1384" w:type="dxa"/>
            <w:tcBorders>
              <w:top w:val="single" w:color="000000" w:sz="4" w:space="0"/>
              <w:left w:val="single" w:color="000000" w:sz="4" w:space="0"/>
              <w:bottom w:val="single" w:color="000000" w:sz="4" w:space="0"/>
              <w:right w:val="single" w:color="000000" w:sz="4" w:space="0"/>
            </w:tcBorders>
          </w:tcPr>
          <w:p w14:paraId="7848DFDD">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福建省</w:t>
            </w:r>
          </w:p>
        </w:tc>
        <w:tc>
          <w:tcPr>
            <w:tcW w:w="1533" w:type="dxa"/>
            <w:tcBorders>
              <w:top w:val="single" w:color="000000" w:sz="4" w:space="0"/>
              <w:left w:val="single" w:color="000000" w:sz="4" w:space="0"/>
              <w:bottom w:val="single" w:color="000000" w:sz="4" w:space="0"/>
              <w:right w:val="single" w:color="000000" w:sz="4" w:space="0"/>
            </w:tcBorders>
          </w:tcPr>
          <w:p w14:paraId="1EC109E3">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6EA512D1">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4DCFD575">
            <w:pPr>
              <w:rPr>
                <w:rFonts w:ascii="Arial" w:hAnsi="Arial" w:cs="Arial"/>
                <w:color w:val="000000" w:themeColor="text1"/>
                <w:szCs w:val="21"/>
                <w14:textFill>
                  <w14:solidFill>
                    <w14:schemeClr w14:val="tx1"/>
                  </w14:solidFill>
                </w14:textFill>
              </w:rPr>
            </w:pPr>
          </w:p>
        </w:tc>
      </w:tr>
      <w:tr w14:paraId="09B4875D">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6EB6AF41">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16</w:t>
            </w:r>
          </w:p>
        </w:tc>
        <w:tc>
          <w:tcPr>
            <w:tcW w:w="1384" w:type="dxa"/>
            <w:tcBorders>
              <w:top w:val="single" w:color="000000" w:sz="4" w:space="0"/>
              <w:left w:val="single" w:color="000000" w:sz="4" w:space="0"/>
              <w:bottom w:val="single" w:color="000000" w:sz="4" w:space="0"/>
              <w:right w:val="single" w:color="000000" w:sz="4" w:space="0"/>
            </w:tcBorders>
          </w:tcPr>
          <w:p w14:paraId="716E41FA">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厦门市</w:t>
            </w:r>
          </w:p>
        </w:tc>
        <w:tc>
          <w:tcPr>
            <w:tcW w:w="1533" w:type="dxa"/>
            <w:tcBorders>
              <w:top w:val="single" w:color="000000" w:sz="4" w:space="0"/>
              <w:left w:val="single" w:color="000000" w:sz="4" w:space="0"/>
              <w:bottom w:val="single" w:color="000000" w:sz="4" w:space="0"/>
              <w:right w:val="single" w:color="000000" w:sz="4" w:space="0"/>
            </w:tcBorders>
          </w:tcPr>
          <w:p w14:paraId="2DE60D48">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400</w:t>
            </w:r>
          </w:p>
        </w:tc>
        <w:tc>
          <w:tcPr>
            <w:tcW w:w="1350" w:type="dxa"/>
            <w:tcBorders>
              <w:top w:val="single" w:color="000000" w:sz="4" w:space="0"/>
              <w:left w:val="single" w:color="000000" w:sz="4" w:space="0"/>
              <w:bottom w:val="single" w:color="000000" w:sz="4" w:space="0"/>
              <w:right w:val="single" w:color="000000" w:sz="4" w:space="0"/>
            </w:tcBorders>
          </w:tcPr>
          <w:p w14:paraId="6D98479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2550" w:type="dxa"/>
            <w:tcBorders>
              <w:top w:val="single" w:color="000000" w:sz="4" w:space="0"/>
              <w:left w:val="single" w:color="000000" w:sz="4" w:space="0"/>
              <w:bottom w:val="single" w:color="000000" w:sz="4" w:space="0"/>
              <w:right w:val="single" w:color="000000" w:sz="4" w:space="0"/>
            </w:tcBorders>
          </w:tcPr>
          <w:p w14:paraId="05FE594D">
            <w:pPr>
              <w:rPr>
                <w:rFonts w:ascii="Arial" w:hAnsi="Arial" w:cs="Arial"/>
                <w:color w:val="000000" w:themeColor="text1"/>
                <w:szCs w:val="21"/>
                <w14:textFill>
                  <w14:solidFill>
                    <w14:schemeClr w14:val="tx1"/>
                  </w14:solidFill>
                </w14:textFill>
              </w:rPr>
            </w:pPr>
          </w:p>
        </w:tc>
      </w:tr>
      <w:tr w14:paraId="6A7EFED1">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6DB9AA9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17</w:t>
            </w:r>
          </w:p>
        </w:tc>
        <w:tc>
          <w:tcPr>
            <w:tcW w:w="1384" w:type="dxa"/>
            <w:tcBorders>
              <w:top w:val="single" w:color="000000" w:sz="4" w:space="0"/>
              <w:left w:val="single" w:color="000000" w:sz="4" w:space="0"/>
              <w:bottom w:val="single" w:color="000000" w:sz="4" w:space="0"/>
              <w:right w:val="single" w:color="000000" w:sz="4" w:space="0"/>
            </w:tcBorders>
          </w:tcPr>
          <w:p w14:paraId="06D2385A">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江西省</w:t>
            </w:r>
          </w:p>
        </w:tc>
        <w:tc>
          <w:tcPr>
            <w:tcW w:w="1533" w:type="dxa"/>
            <w:tcBorders>
              <w:top w:val="single" w:color="000000" w:sz="4" w:space="0"/>
              <w:left w:val="single" w:color="000000" w:sz="4" w:space="0"/>
              <w:bottom w:val="single" w:color="000000" w:sz="4" w:space="0"/>
              <w:right w:val="single" w:color="000000" w:sz="4" w:space="0"/>
            </w:tcBorders>
          </w:tcPr>
          <w:p w14:paraId="49C891E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2E9280D8">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4565B935">
            <w:pPr>
              <w:rPr>
                <w:rFonts w:ascii="Arial" w:hAnsi="Arial" w:cs="Arial"/>
                <w:color w:val="000000" w:themeColor="text1"/>
                <w:szCs w:val="21"/>
                <w14:textFill>
                  <w14:solidFill>
                    <w14:schemeClr w14:val="tx1"/>
                  </w14:solidFill>
                </w14:textFill>
              </w:rPr>
            </w:pPr>
          </w:p>
        </w:tc>
      </w:tr>
      <w:tr w14:paraId="30AB31DB">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25028C97">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18</w:t>
            </w:r>
          </w:p>
        </w:tc>
        <w:tc>
          <w:tcPr>
            <w:tcW w:w="1384" w:type="dxa"/>
            <w:tcBorders>
              <w:top w:val="single" w:color="000000" w:sz="4" w:space="0"/>
              <w:left w:val="single" w:color="000000" w:sz="4" w:space="0"/>
              <w:bottom w:val="single" w:color="000000" w:sz="4" w:space="0"/>
              <w:right w:val="single" w:color="000000" w:sz="4" w:space="0"/>
            </w:tcBorders>
          </w:tcPr>
          <w:p w14:paraId="6DD84F93">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山东省</w:t>
            </w:r>
          </w:p>
        </w:tc>
        <w:tc>
          <w:tcPr>
            <w:tcW w:w="1533" w:type="dxa"/>
            <w:tcBorders>
              <w:top w:val="single" w:color="000000" w:sz="4" w:space="0"/>
              <w:left w:val="single" w:color="000000" w:sz="4" w:space="0"/>
              <w:bottom w:val="single" w:color="000000" w:sz="4" w:space="0"/>
              <w:right w:val="single" w:color="000000" w:sz="4" w:space="0"/>
            </w:tcBorders>
          </w:tcPr>
          <w:p w14:paraId="1E71A8A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095EBD1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128919B0">
            <w:pPr>
              <w:rPr>
                <w:rFonts w:ascii="Arial" w:hAnsi="Arial" w:cs="Arial"/>
                <w:color w:val="000000" w:themeColor="text1"/>
                <w:szCs w:val="21"/>
                <w14:textFill>
                  <w14:solidFill>
                    <w14:schemeClr w14:val="tx1"/>
                  </w14:solidFill>
                </w14:textFill>
              </w:rPr>
            </w:pPr>
          </w:p>
        </w:tc>
      </w:tr>
      <w:tr w14:paraId="08A8AE10">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32A46BE3">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19</w:t>
            </w:r>
          </w:p>
        </w:tc>
        <w:tc>
          <w:tcPr>
            <w:tcW w:w="1384" w:type="dxa"/>
            <w:tcBorders>
              <w:top w:val="single" w:color="000000" w:sz="4" w:space="0"/>
              <w:left w:val="single" w:color="000000" w:sz="4" w:space="0"/>
              <w:bottom w:val="single" w:color="000000" w:sz="4" w:space="0"/>
              <w:right w:val="single" w:color="000000" w:sz="4" w:space="0"/>
            </w:tcBorders>
          </w:tcPr>
          <w:p w14:paraId="68CBA852">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青岛市</w:t>
            </w:r>
          </w:p>
        </w:tc>
        <w:tc>
          <w:tcPr>
            <w:tcW w:w="1533" w:type="dxa"/>
            <w:tcBorders>
              <w:top w:val="single" w:color="000000" w:sz="4" w:space="0"/>
              <w:left w:val="single" w:color="000000" w:sz="4" w:space="0"/>
              <w:bottom w:val="single" w:color="000000" w:sz="4" w:space="0"/>
              <w:right w:val="single" w:color="000000" w:sz="4" w:space="0"/>
            </w:tcBorders>
          </w:tcPr>
          <w:p w14:paraId="68054F38">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2EBCF3BB">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21DF255A">
            <w:pPr>
              <w:widowControl/>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7-9 </w:t>
            </w:r>
            <w:r>
              <w:rPr>
                <w:rStyle w:val="22"/>
                <w:rFonts w:hint="default"/>
                <w:color w:val="000000" w:themeColor="text1"/>
                <w:sz w:val="21"/>
                <w:szCs w:val="21"/>
                <w:lang w:bidi="ar"/>
                <w14:textFill>
                  <w14:solidFill>
                    <w14:schemeClr w14:val="tx1"/>
                  </w14:solidFill>
                </w14:textFill>
              </w:rPr>
              <w:t xml:space="preserve">月份价格上浮 </w:t>
            </w:r>
            <w:r>
              <w:rPr>
                <w:rStyle w:val="23"/>
                <w:color w:val="000000" w:themeColor="text1"/>
                <w:sz w:val="21"/>
                <w:szCs w:val="21"/>
                <w:lang w:bidi="ar"/>
                <w14:textFill>
                  <w14:solidFill>
                    <w14:schemeClr w14:val="tx1"/>
                  </w14:solidFill>
                </w14:textFill>
              </w:rPr>
              <w:t>20%</w:t>
            </w:r>
          </w:p>
        </w:tc>
      </w:tr>
      <w:tr w14:paraId="050BA01D">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4A2A506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20</w:t>
            </w:r>
          </w:p>
        </w:tc>
        <w:tc>
          <w:tcPr>
            <w:tcW w:w="1384" w:type="dxa"/>
            <w:tcBorders>
              <w:top w:val="single" w:color="000000" w:sz="4" w:space="0"/>
              <w:left w:val="single" w:color="000000" w:sz="4" w:space="0"/>
              <w:bottom w:val="single" w:color="000000" w:sz="4" w:space="0"/>
              <w:right w:val="single" w:color="000000" w:sz="4" w:space="0"/>
            </w:tcBorders>
          </w:tcPr>
          <w:p w14:paraId="545BB99D">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河南省</w:t>
            </w:r>
          </w:p>
        </w:tc>
        <w:tc>
          <w:tcPr>
            <w:tcW w:w="1533" w:type="dxa"/>
            <w:tcBorders>
              <w:top w:val="single" w:color="000000" w:sz="4" w:space="0"/>
              <w:left w:val="single" w:color="000000" w:sz="4" w:space="0"/>
              <w:bottom w:val="single" w:color="000000" w:sz="4" w:space="0"/>
              <w:right w:val="single" w:color="000000" w:sz="4" w:space="0"/>
            </w:tcBorders>
          </w:tcPr>
          <w:p w14:paraId="5DECA455">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5A694B1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14726EA6">
            <w:pPr>
              <w:rPr>
                <w:rFonts w:ascii="Arial" w:hAnsi="Arial" w:cs="Arial"/>
                <w:color w:val="000000" w:themeColor="text1"/>
                <w:szCs w:val="21"/>
                <w14:textFill>
                  <w14:solidFill>
                    <w14:schemeClr w14:val="tx1"/>
                  </w14:solidFill>
                </w14:textFill>
              </w:rPr>
            </w:pPr>
          </w:p>
        </w:tc>
      </w:tr>
      <w:tr w14:paraId="44F5AACE">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2A0A28C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21</w:t>
            </w:r>
          </w:p>
        </w:tc>
        <w:tc>
          <w:tcPr>
            <w:tcW w:w="1384" w:type="dxa"/>
            <w:tcBorders>
              <w:top w:val="single" w:color="000000" w:sz="4" w:space="0"/>
              <w:left w:val="single" w:color="000000" w:sz="4" w:space="0"/>
              <w:bottom w:val="single" w:color="000000" w:sz="4" w:space="0"/>
              <w:right w:val="single" w:color="000000" w:sz="4" w:space="0"/>
            </w:tcBorders>
          </w:tcPr>
          <w:p w14:paraId="62CBA652">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湖北省</w:t>
            </w:r>
          </w:p>
        </w:tc>
        <w:tc>
          <w:tcPr>
            <w:tcW w:w="1533" w:type="dxa"/>
            <w:tcBorders>
              <w:top w:val="single" w:color="000000" w:sz="4" w:space="0"/>
              <w:left w:val="single" w:color="000000" w:sz="4" w:space="0"/>
              <w:bottom w:val="single" w:color="000000" w:sz="4" w:space="0"/>
              <w:right w:val="single" w:color="000000" w:sz="4" w:space="0"/>
            </w:tcBorders>
          </w:tcPr>
          <w:p w14:paraId="39B888E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7769F6F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37334548">
            <w:pPr>
              <w:rPr>
                <w:rFonts w:ascii="Arial" w:hAnsi="Arial" w:cs="Arial"/>
                <w:color w:val="000000" w:themeColor="text1"/>
                <w:szCs w:val="21"/>
                <w14:textFill>
                  <w14:solidFill>
                    <w14:schemeClr w14:val="tx1"/>
                  </w14:solidFill>
                </w14:textFill>
              </w:rPr>
            </w:pPr>
          </w:p>
        </w:tc>
      </w:tr>
      <w:tr w14:paraId="6455D024">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FA67DE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22</w:t>
            </w:r>
          </w:p>
        </w:tc>
        <w:tc>
          <w:tcPr>
            <w:tcW w:w="1384" w:type="dxa"/>
            <w:tcBorders>
              <w:top w:val="single" w:color="000000" w:sz="4" w:space="0"/>
              <w:left w:val="single" w:color="000000" w:sz="4" w:space="0"/>
              <w:bottom w:val="single" w:color="000000" w:sz="4" w:space="0"/>
              <w:right w:val="single" w:color="000000" w:sz="4" w:space="0"/>
            </w:tcBorders>
          </w:tcPr>
          <w:p w14:paraId="5138AAF5">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湖南省</w:t>
            </w:r>
          </w:p>
        </w:tc>
        <w:tc>
          <w:tcPr>
            <w:tcW w:w="1533" w:type="dxa"/>
            <w:tcBorders>
              <w:top w:val="single" w:color="000000" w:sz="4" w:space="0"/>
              <w:left w:val="single" w:color="000000" w:sz="4" w:space="0"/>
              <w:bottom w:val="single" w:color="000000" w:sz="4" w:space="0"/>
              <w:right w:val="single" w:color="000000" w:sz="4" w:space="0"/>
            </w:tcBorders>
          </w:tcPr>
          <w:p w14:paraId="0603610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4AAD41B3">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73BE3DCD">
            <w:pPr>
              <w:rPr>
                <w:rFonts w:ascii="Arial" w:hAnsi="Arial" w:cs="Arial"/>
                <w:color w:val="000000" w:themeColor="text1"/>
                <w:szCs w:val="21"/>
                <w14:textFill>
                  <w14:solidFill>
                    <w14:schemeClr w14:val="tx1"/>
                  </w14:solidFill>
                </w14:textFill>
              </w:rPr>
            </w:pPr>
          </w:p>
        </w:tc>
      </w:tr>
      <w:tr w14:paraId="102B8AAB">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4B1ED9DB">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23</w:t>
            </w:r>
          </w:p>
        </w:tc>
        <w:tc>
          <w:tcPr>
            <w:tcW w:w="1384" w:type="dxa"/>
            <w:tcBorders>
              <w:top w:val="single" w:color="000000" w:sz="4" w:space="0"/>
              <w:left w:val="single" w:color="000000" w:sz="4" w:space="0"/>
              <w:bottom w:val="single" w:color="000000" w:sz="4" w:space="0"/>
              <w:right w:val="single" w:color="000000" w:sz="4" w:space="0"/>
            </w:tcBorders>
          </w:tcPr>
          <w:p w14:paraId="79988C28">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广东省</w:t>
            </w:r>
          </w:p>
        </w:tc>
        <w:tc>
          <w:tcPr>
            <w:tcW w:w="1533" w:type="dxa"/>
            <w:tcBorders>
              <w:top w:val="single" w:color="000000" w:sz="4" w:space="0"/>
              <w:left w:val="single" w:color="000000" w:sz="4" w:space="0"/>
              <w:bottom w:val="single" w:color="000000" w:sz="4" w:space="0"/>
              <w:right w:val="single" w:color="000000" w:sz="4" w:space="0"/>
            </w:tcBorders>
          </w:tcPr>
          <w:p w14:paraId="6C45E66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450</w:t>
            </w:r>
          </w:p>
        </w:tc>
        <w:tc>
          <w:tcPr>
            <w:tcW w:w="1350" w:type="dxa"/>
            <w:tcBorders>
              <w:top w:val="single" w:color="000000" w:sz="4" w:space="0"/>
              <w:left w:val="single" w:color="000000" w:sz="4" w:space="0"/>
              <w:bottom w:val="single" w:color="000000" w:sz="4" w:space="0"/>
              <w:right w:val="single" w:color="000000" w:sz="4" w:space="0"/>
            </w:tcBorders>
          </w:tcPr>
          <w:p w14:paraId="50A59BD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400</w:t>
            </w:r>
          </w:p>
        </w:tc>
        <w:tc>
          <w:tcPr>
            <w:tcW w:w="2550" w:type="dxa"/>
            <w:tcBorders>
              <w:top w:val="single" w:color="000000" w:sz="4" w:space="0"/>
              <w:left w:val="single" w:color="000000" w:sz="4" w:space="0"/>
              <w:bottom w:val="single" w:color="000000" w:sz="4" w:space="0"/>
              <w:right w:val="single" w:color="000000" w:sz="4" w:space="0"/>
            </w:tcBorders>
          </w:tcPr>
          <w:p w14:paraId="7C597D5E">
            <w:pPr>
              <w:rPr>
                <w:rFonts w:ascii="Arial" w:hAnsi="Arial" w:cs="Arial"/>
                <w:color w:val="000000" w:themeColor="text1"/>
                <w:szCs w:val="21"/>
                <w14:textFill>
                  <w14:solidFill>
                    <w14:schemeClr w14:val="tx1"/>
                  </w14:solidFill>
                </w14:textFill>
              </w:rPr>
            </w:pPr>
          </w:p>
        </w:tc>
      </w:tr>
      <w:tr w14:paraId="18367F78">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71737DF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24</w:t>
            </w:r>
          </w:p>
        </w:tc>
        <w:tc>
          <w:tcPr>
            <w:tcW w:w="1384" w:type="dxa"/>
            <w:tcBorders>
              <w:top w:val="single" w:color="000000" w:sz="4" w:space="0"/>
              <w:left w:val="single" w:color="000000" w:sz="4" w:space="0"/>
              <w:bottom w:val="single" w:color="000000" w:sz="4" w:space="0"/>
              <w:right w:val="single" w:color="000000" w:sz="4" w:space="0"/>
            </w:tcBorders>
          </w:tcPr>
          <w:p w14:paraId="76B531C4">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其中：广州</w:t>
            </w:r>
          </w:p>
        </w:tc>
        <w:tc>
          <w:tcPr>
            <w:tcW w:w="1533" w:type="dxa"/>
            <w:tcBorders>
              <w:top w:val="single" w:color="000000" w:sz="4" w:space="0"/>
              <w:left w:val="single" w:color="000000" w:sz="4" w:space="0"/>
              <w:bottom w:val="single" w:color="000000" w:sz="4" w:space="0"/>
              <w:right w:val="single" w:color="000000" w:sz="4" w:space="0"/>
            </w:tcBorders>
          </w:tcPr>
          <w:p w14:paraId="20432AE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1350" w:type="dxa"/>
            <w:tcBorders>
              <w:top w:val="single" w:color="000000" w:sz="4" w:space="0"/>
              <w:left w:val="single" w:color="000000" w:sz="4" w:space="0"/>
              <w:bottom w:val="single" w:color="000000" w:sz="4" w:space="0"/>
              <w:right w:val="single" w:color="000000" w:sz="4" w:space="0"/>
            </w:tcBorders>
          </w:tcPr>
          <w:p w14:paraId="4BD1E61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2550" w:type="dxa"/>
            <w:tcBorders>
              <w:top w:val="single" w:color="000000" w:sz="4" w:space="0"/>
              <w:left w:val="single" w:color="000000" w:sz="4" w:space="0"/>
              <w:bottom w:val="single" w:color="000000" w:sz="4" w:space="0"/>
              <w:right w:val="single" w:color="000000" w:sz="4" w:space="0"/>
            </w:tcBorders>
          </w:tcPr>
          <w:p w14:paraId="4E75CC96">
            <w:pPr>
              <w:rPr>
                <w:rFonts w:ascii="Arial" w:hAnsi="Arial" w:cs="Arial"/>
                <w:color w:val="000000" w:themeColor="text1"/>
                <w:szCs w:val="21"/>
                <w14:textFill>
                  <w14:solidFill>
                    <w14:schemeClr w14:val="tx1"/>
                  </w14:solidFill>
                </w14:textFill>
              </w:rPr>
            </w:pPr>
          </w:p>
        </w:tc>
      </w:tr>
      <w:tr w14:paraId="7E3E16F3">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7DC4E46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25</w:t>
            </w:r>
          </w:p>
        </w:tc>
        <w:tc>
          <w:tcPr>
            <w:tcW w:w="1384" w:type="dxa"/>
            <w:tcBorders>
              <w:top w:val="single" w:color="000000" w:sz="4" w:space="0"/>
              <w:left w:val="single" w:color="000000" w:sz="4" w:space="0"/>
              <w:bottom w:val="single" w:color="000000" w:sz="4" w:space="0"/>
              <w:right w:val="single" w:color="000000" w:sz="4" w:space="0"/>
            </w:tcBorders>
          </w:tcPr>
          <w:p w14:paraId="057C0E88">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深圳市</w:t>
            </w:r>
          </w:p>
        </w:tc>
        <w:tc>
          <w:tcPr>
            <w:tcW w:w="1533" w:type="dxa"/>
            <w:tcBorders>
              <w:top w:val="single" w:color="000000" w:sz="4" w:space="0"/>
              <w:left w:val="single" w:color="000000" w:sz="4" w:space="0"/>
              <w:bottom w:val="single" w:color="000000" w:sz="4" w:space="0"/>
              <w:right w:val="single" w:color="000000" w:sz="4" w:space="0"/>
            </w:tcBorders>
          </w:tcPr>
          <w:p w14:paraId="03461E4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1350" w:type="dxa"/>
            <w:tcBorders>
              <w:top w:val="single" w:color="000000" w:sz="4" w:space="0"/>
              <w:left w:val="single" w:color="000000" w:sz="4" w:space="0"/>
              <w:bottom w:val="single" w:color="000000" w:sz="4" w:space="0"/>
              <w:right w:val="single" w:color="000000" w:sz="4" w:space="0"/>
            </w:tcBorders>
          </w:tcPr>
          <w:p w14:paraId="3405078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650</w:t>
            </w:r>
          </w:p>
        </w:tc>
        <w:tc>
          <w:tcPr>
            <w:tcW w:w="2550" w:type="dxa"/>
            <w:tcBorders>
              <w:top w:val="single" w:color="000000" w:sz="4" w:space="0"/>
              <w:left w:val="single" w:color="000000" w:sz="4" w:space="0"/>
              <w:bottom w:val="single" w:color="000000" w:sz="4" w:space="0"/>
              <w:right w:val="single" w:color="000000" w:sz="4" w:space="0"/>
            </w:tcBorders>
          </w:tcPr>
          <w:p w14:paraId="3FFD94B1">
            <w:pPr>
              <w:rPr>
                <w:rFonts w:ascii="Arial" w:hAnsi="Arial" w:cs="Arial"/>
                <w:color w:val="000000" w:themeColor="text1"/>
                <w:szCs w:val="21"/>
                <w14:textFill>
                  <w14:solidFill>
                    <w14:schemeClr w14:val="tx1"/>
                  </w14:solidFill>
                </w14:textFill>
              </w:rPr>
            </w:pPr>
          </w:p>
        </w:tc>
      </w:tr>
      <w:tr w14:paraId="62F36350">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2F036183">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26</w:t>
            </w:r>
          </w:p>
        </w:tc>
        <w:tc>
          <w:tcPr>
            <w:tcW w:w="1384" w:type="dxa"/>
            <w:tcBorders>
              <w:top w:val="single" w:color="000000" w:sz="4" w:space="0"/>
              <w:left w:val="single" w:color="000000" w:sz="4" w:space="0"/>
              <w:bottom w:val="single" w:color="000000" w:sz="4" w:space="0"/>
              <w:right w:val="single" w:color="000000" w:sz="4" w:space="0"/>
            </w:tcBorders>
          </w:tcPr>
          <w:p w14:paraId="2FC0B489">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广西</w:t>
            </w:r>
          </w:p>
        </w:tc>
        <w:tc>
          <w:tcPr>
            <w:tcW w:w="1533" w:type="dxa"/>
            <w:tcBorders>
              <w:top w:val="single" w:color="000000" w:sz="4" w:space="0"/>
              <w:left w:val="single" w:color="000000" w:sz="4" w:space="0"/>
              <w:bottom w:val="single" w:color="000000" w:sz="4" w:space="0"/>
              <w:right w:val="single" w:color="000000" w:sz="4" w:space="0"/>
            </w:tcBorders>
          </w:tcPr>
          <w:p w14:paraId="0EDAAC5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76130EEC">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54307B34">
            <w:pPr>
              <w:rPr>
                <w:rFonts w:ascii="Arial" w:hAnsi="Arial" w:cs="Arial"/>
                <w:color w:val="000000" w:themeColor="text1"/>
                <w:szCs w:val="21"/>
                <w14:textFill>
                  <w14:solidFill>
                    <w14:schemeClr w14:val="tx1"/>
                  </w14:solidFill>
                </w14:textFill>
              </w:rPr>
            </w:pPr>
          </w:p>
        </w:tc>
      </w:tr>
      <w:tr w14:paraId="0EA145A3">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2E35E3B5">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27</w:t>
            </w:r>
          </w:p>
        </w:tc>
        <w:tc>
          <w:tcPr>
            <w:tcW w:w="1384" w:type="dxa"/>
            <w:tcBorders>
              <w:top w:val="single" w:color="000000" w:sz="4" w:space="0"/>
              <w:left w:val="single" w:color="000000" w:sz="4" w:space="0"/>
              <w:bottom w:val="single" w:color="000000" w:sz="4" w:space="0"/>
              <w:right w:val="single" w:color="000000" w:sz="4" w:space="0"/>
            </w:tcBorders>
          </w:tcPr>
          <w:p w14:paraId="646D62F4">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海南省</w:t>
            </w:r>
          </w:p>
        </w:tc>
        <w:tc>
          <w:tcPr>
            <w:tcW w:w="1533" w:type="dxa"/>
            <w:tcBorders>
              <w:top w:val="single" w:color="000000" w:sz="4" w:space="0"/>
              <w:left w:val="single" w:color="000000" w:sz="4" w:space="0"/>
              <w:bottom w:val="single" w:color="000000" w:sz="4" w:space="0"/>
              <w:right w:val="single" w:color="000000" w:sz="4" w:space="0"/>
            </w:tcBorders>
          </w:tcPr>
          <w:p w14:paraId="537A206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0F3AE41F">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5759FAC4">
            <w:pPr>
              <w:widowControl/>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11-2</w:t>
            </w:r>
            <w:r>
              <w:rPr>
                <w:rStyle w:val="22"/>
                <w:rFonts w:hint="default"/>
                <w:color w:val="000000" w:themeColor="text1"/>
                <w:sz w:val="21"/>
                <w:szCs w:val="21"/>
                <w:lang w:bidi="ar"/>
                <w14:textFill>
                  <w14:solidFill>
                    <w14:schemeClr w14:val="tx1"/>
                  </w14:solidFill>
                </w14:textFill>
              </w:rPr>
              <w:t xml:space="preserve">月份价格上浮 </w:t>
            </w:r>
            <w:r>
              <w:rPr>
                <w:rStyle w:val="23"/>
                <w:color w:val="000000" w:themeColor="text1"/>
                <w:sz w:val="21"/>
                <w:szCs w:val="21"/>
                <w:lang w:bidi="ar"/>
                <w14:textFill>
                  <w14:solidFill>
                    <w14:schemeClr w14:val="tx1"/>
                  </w14:solidFill>
                </w14:textFill>
              </w:rPr>
              <w:t>30%</w:t>
            </w:r>
          </w:p>
        </w:tc>
      </w:tr>
      <w:tr w14:paraId="13257A11">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5BF940C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28</w:t>
            </w:r>
          </w:p>
        </w:tc>
        <w:tc>
          <w:tcPr>
            <w:tcW w:w="1384" w:type="dxa"/>
            <w:tcBorders>
              <w:top w:val="single" w:color="000000" w:sz="4" w:space="0"/>
              <w:left w:val="single" w:color="000000" w:sz="4" w:space="0"/>
              <w:bottom w:val="single" w:color="000000" w:sz="4" w:space="0"/>
              <w:right w:val="single" w:color="000000" w:sz="4" w:space="0"/>
            </w:tcBorders>
          </w:tcPr>
          <w:p w14:paraId="0435EAFB">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重庆市</w:t>
            </w:r>
          </w:p>
        </w:tc>
        <w:tc>
          <w:tcPr>
            <w:tcW w:w="1533" w:type="dxa"/>
            <w:tcBorders>
              <w:top w:val="single" w:color="000000" w:sz="4" w:space="0"/>
              <w:left w:val="single" w:color="000000" w:sz="4" w:space="0"/>
              <w:bottom w:val="single" w:color="000000" w:sz="4" w:space="0"/>
              <w:right w:val="single" w:color="000000" w:sz="4" w:space="0"/>
            </w:tcBorders>
          </w:tcPr>
          <w:p w14:paraId="238461DF">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370</w:t>
            </w:r>
          </w:p>
        </w:tc>
        <w:tc>
          <w:tcPr>
            <w:tcW w:w="1350" w:type="dxa"/>
            <w:tcBorders>
              <w:top w:val="single" w:color="000000" w:sz="4" w:space="0"/>
              <w:left w:val="single" w:color="000000" w:sz="4" w:space="0"/>
              <w:bottom w:val="single" w:color="000000" w:sz="4" w:space="0"/>
              <w:right w:val="single" w:color="000000" w:sz="4" w:space="0"/>
            </w:tcBorders>
          </w:tcPr>
          <w:p w14:paraId="28AB74D1">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320</w:t>
            </w:r>
          </w:p>
        </w:tc>
        <w:tc>
          <w:tcPr>
            <w:tcW w:w="2550" w:type="dxa"/>
            <w:tcBorders>
              <w:top w:val="single" w:color="000000" w:sz="4" w:space="0"/>
              <w:left w:val="single" w:color="000000" w:sz="4" w:space="0"/>
              <w:bottom w:val="single" w:color="000000" w:sz="4" w:space="0"/>
              <w:right w:val="single" w:color="000000" w:sz="4" w:space="0"/>
            </w:tcBorders>
          </w:tcPr>
          <w:p w14:paraId="54AD305E">
            <w:pPr>
              <w:rPr>
                <w:rFonts w:ascii="Arial" w:hAnsi="Arial" w:cs="Arial"/>
                <w:color w:val="000000" w:themeColor="text1"/>
                <w:szCs w:val="21"/>
                <w14:textFill>
                  <w14:solidFill>
                    <w14:schemeClr w14:val="tx1"/>
                  </w14:solidFill>
                </w14:textFill>
              </w:rPr>
            </w:pPr>
          </w:p>
        </w:tc>
      </w:tr>
      <w:tr w14:paraId="331D2DB4">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FC8919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29</w:t>
            </w:r>
          </w:p>
        </w:tc>
        <w:tc>
          <w:tcPr>
            <w:tcW w:w="1384" w:type="dxa"/>
            <w:tcBorders>
              <w:top w:val="single" w:color="000000" w:sz="4" w:space="0"/>
              <w:left w:val="single" w:color="000000" w:sz="4" w:space="0"/>
              <w:bottom w:val="single" w:color="000000" w:sz="4" w:space="0"/>
              <w:right w:val="single" w:color="000000" w:sz="4" w:space="0"/>
            </w:tcBorders>
          </w:tcPr>
          <w:p w14:paraId="6C85A577">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四川省</w:t>
            </w:r>
          </w:p>
        </w:tc>
        <w:tc>
          <w:tcPr>
            <w:tcW w:w="1533" w:type="dxa"/>
            <w:tcBorders>
              <w:top w:val="single" w:color="000000" w:sz="4" w:space="0"/>
              <w:left w:val="single" w:color="000000" w:sz="4" w:space="0"/>
              <w:bottom w:val="single" w:color="000000" w:sz="4" w:space="0"/>
              <w:right w:val="single" w:color="000000" w:sz="4" w:space="0"/>
            </w:tcBorders>
          </w:tcPr>
          <w:p w14:paraId="5E29CA1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370</w:t>
            </w:r>
          </w:p>
        </w:tc>
        <w:tc>
          <w:tcPr>
            <w:tcW w:w="1350" w:type="dxa"/>
            <w:tcBorders>
              <w:top w:val="single" w:color="000000" w:sz="4" w:space="0"/>
              <w:left w:val="single" w:color="000000" w:sz="4" w:space="0"/>
              <w:bottom w:val="single" w:color="000000" w:sz="4" w:space="0"/>
              <w:right w:val="single" w:color="000000" w:sz="4" w:space="0"/>
            </w:tcBorders>
          </w:tcPr>
          <w:p w14:paraId="043B3BA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320</w:t>
            </w:r>
          </w:p>
        </w:tc>
        <w:tc>
          <w:tcPr>
            <w:tcW w:w="2550" w:type="dxa"/>
            <w:tcBorders>
              <w:top w:val="single" w:color="000000" w:sz="4" w:space="0"/>
              <w:left w:val="single" w:color="000000" w:sz="4" w:space="0"/>
              <w:bottom w:val="single" w:color="000000" w:sz="4" w:space="0"/>
              <w:right w:val="single" w:color="000000" w:sz="4" w:space="0"/>
            </w:tcBorders>
          </w:tcPr>
          <w:p w14:paraId="6F6C91AB">
            <w:pPr>
              <w:rPr>
                <w:rFonts w:ascii="Arial" w:hAnsi="Arial" w:cs="Arial"/>
                <w:color w:val="000000" w:themeColor="text1"/>
                <w:szCs w:val="21"/>
                <w14:textFill>
                  <w14:solidFill>
                    <w14:schemeClr w14:val="tx1"/>
                  </w14:solidFill>
                </w14:textFill>
              </w:rPr>
            </w:pPr>
          </w:p>
        </w:tc>
      </w:tr>
      <w:tr w14:paraId="4C0A955C">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016F317B">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w:t>
            </w:r>
          </w:p>
        </w:tc>
        <w:tc>
          <w:tcPr>
            <w:tcW w:w="1384" w:type="dxa"/>
            <w:tcBorders>
              <w:top w:val="single" w:color="000000" w:sz="4" w:space="0"/>
              <w:left w:val="single" w:color="000000" w:sz="4" w:space="0"/>
              <w:bottom w:val="single" w:color="000000" w:sz="4" w:space="0"/>
              <w:right w:val="single" w:color="000000" w:sz="4" w:space="0"/>
            </w:tcBorders>
          </w:tcPr>
          <w:p w14:paraId="21C9DC0E">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贵州省</w:t>
            </w:r>
          </w:p>
        </w:tc>
        <w:tc>
          <w:tcPr>
            <w:tcW w:w="1533" w:type="dxa"/>
            <w:tcBorders>
              <w:top w:val="single" w:color="000000" w:sz="4" w:space="0"/>
              <w:left w:val="single" w:color="000000" w:sz="4" w:space="0"/>
              <w:bottom w:val="single" w:color="000000" w:sz="4" w:space="0"/>
              <w:right w:val="single" w:color="000000" w:sz="4" w:space="0"/>
            </w:tcBorders>
          </w:tcPr>
          <w:p w14:paraId="580BCA8B">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370</w:t>
            </w:r>
          </w:p>
        </w:tc>
        <w:tc>
          <w:tcPr>
            <w:tcW w:w="1350" w:type="dxa"/>
            <w:tcBorders>
              <w:top w:val="single" w:color="000000" w:sz="4" w:space="0"/>
              <w:left w:val="single" w:color="000000" w:sz="4" w:space="0"/>
              <w:bottom w:val="single" w:color="000000" w:sz="4" w:space="0"/>
              <w:right w:val="single" w:color="000000" w:sz="4" w:space="0"/>
            </w:tcBorders>
          </w:tcPr>
          <w:p w14:paraId="57662A7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320</w:t>
            </w:r>
          </w:p>
        </w:tc>
        <w:tc>
          <w:tcPr>
            <w:tcW w:w="2550" w:type="dxa"/>
            <w:tcBorders>
              <w:top w:val="single" w:color="000000" w:sz="4" w:space="0"/>
              <w:left w:val="single" w:color="000000" w:sz="4" w:space="0"/>
              <w:bottom w:val="single" w:color="000000" w:sz="4" w:space="0"/>
              <w:right w:val="single" w:color="000000" w:sz="4" w:space="0"/>
            </w:tcBorders>
          </w:tcPr>
          <w:p w14:paraId="057747CF">
            <w:pPr>
              <w:rPr>
                <w:rFonts w:ascii="Arial" w:hAnsi="Arial" w:cs="Arial"/>
                <w:color w:val="000000" w:themeColor="text1"/>
                <w:szCs w:val="21"/>
                <w14:textFill>
                  <w14:solidFill>
                    <w14:schemeClr w14:val="tx1"/>
                  </w14:solidFill>
                </w14:textFill>
              </w:rPr>
            </w:pPr>
          </w:p>
        </w:tc>
      </w:tr>
      <w:tr w14:paraId="5FD89897">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4D10B70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31</w:t>
            </w:r>
          </w:p>
        </w:tc>
        <w:tc>
          <w:tcPr>
            <w:tcW w:w="1384" w:type="dxa"/>
            <w:tcBorders>
              <w:top w:val="single" w:color="000000" w:sz="4" w:space="0"/>
              <w:left w:val="single" w:color="000000" w:sz="4" w:space="0"/>
              <w:bottom w:val="single" w:color="000000" w:sz="4" w:space="0"/>
              <w:right w:val="single" w:color="000000" w:sz="4" w:space="0"/>
            </w:tcBorders>
          </w:tcPr>
          <w:p w14:paraId="154946E8">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云南省</w:t>
            </w:r>
          </w:p>
        </w:tc>
        <w:tc>
          <w:tcPr>
            <w:tcW w:w="1533" w:type="dxa"/>
            <w:tcBorders>
              <w:top w:val="single" w:color="000000" w:sz="4" w:space="0"/>
              <w:left w:val="single" w:color="000000" w:sz="4" w:space="0"/>
              <w:bottom w:val="single" w:color="000000" w:sz="4" w:space="0"/>
              <w:right w:val="single" w:color="000000" w:sz="4" w:space="0"/>
            </w:tcBorders>
          </w:tcPr>
          <w:p w14:paraId="3731E5D5">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380</w:t>
            </w:r>
          </w:p>
        </w:tc>
        <w:tc>
          <w:tcPr>
            <w:tcW w:w="1350" w:type="dxa"/>
            <w:tcBorders>
              <w:top w:val="single" w:color="000000" w:sz="4" w:space="0"/>
              <w:left w:val="single" w:color="000000" w:sz="4" w:space="0"/>
              <w:bottom w:val="single" w:color="000000" w:sz="4" w:space="0"/>
              <w:right w:val="single" w:color="000000" w:sz="4" w:space="0"/>
            </w:tcBorders>
          </w:tcPr>
          <w:p w14:paraId="104AF506">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330</w:t>
            </w:r>
          </w:p>
        </w:tc>
        <w:tc>
          <w:tcPr>
            <w:tcW w:w="2550" w:type="dxa"/>
            <w:tcBorders>
              <w:top w:val="single" w:color="000000" w:sz="4" w:space="0"/>
              <w:left w:val="single" w:color="000000" w:sz="4" w:space="0"/>
              <w:bottom w:val="single" w:color="000000" w:sz="4" w:space="0"/>
              <w:right w:val="single" w:color="000000" w:sz="4" w:space="0"/>
            </w:tcBorders>
          </w:tcPr>
          <w:p w14:paraId="26A69616">
            <w:pPr>
              <w:rPr>
                <w:rFonts w:ascii="Arial" w:hAnsi="Arial" w:cs="Arial"/>
                <w:color w:val="000000" w:themeColor="text1"/>
                <w:szCs w:val="21"/>
                <w14:textFill>
                  <w14:solidFill>
                    <w14:schemeClr w14:val="tx1"/>
                  </w14:solidFill>
                </w14:textFill>
              </w:rPr>
            </w:pPr>
          </w:p>
        </w:tc>
      </w:tr>
      <w:tr w14:paraId="489880E1">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362C77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32</w:t>
            </w:r>
          </w:p>
        </w:tc>
        <w:tc>
          <w:tcPr>
            <w:tcW w:w="1384" w:type="dxa"/>
            <w:tcBorders>
              <w:top w:val="single" w:color="000000" w:sz="4" w:space="0"/>
              <w:left w:val="single" w:color="000000" w:sz="4" w:space="0"/>
              <w:bottom w:val="single" w:color="000000" w:sz="4" w:space="0"/>
              <w:right w:val="single" w:color="000000" w:sz="4" w:space="0"/>
            </w:tcBorders>
          </w:tcPr>
          <w:p w14:paraId="4F8A6483">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西藏</w:t>
            </w:r>
          </w:p>
        </w:tc>
        <w:tc>
          <w:tcPr>
            <w:tcW w:w="1533" w:type="dxa"/>
            <w:tcBorders>
              <w:top w:val="single" w:color="000000" w:sz="4" w:space="0"/>
              <w:left w:val="single" w:color="000000" w:sz="4" w:space="0"/>
              <w:bottom w:val="single" w:color="000000" w:sz="4" w:space="0"/>
              <w:right w:val="single" w:color="000000" w:sz="4" w:space="0"/>
            </w:tcBorders>
          </w:tcPr>
          <w:p w14:paraId="0B3ED859">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04FE913F">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3516D93B">
            <w:pPr>
              <w:widowControl/>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6-9 </w:t>
            </w:r>
            <w:r>
              <w:rPr>
                <w:rStyle w:val="22"/>
                <w:rFonts w:hint="default"/>
                <w:color w:val="000000" w:themeColor="text1"/>
                <w:sz w:val="21"/>
                <w:szCs w:val="21"/>
                <w:lang w:bidi="ar"/>
                <w14:textFill>
                  <w14:solidFill>
                    <w14:schemeClr w14:val="tx1"/>
                  </w14:solidFill>
                </w14:textFill>
              </w:rPr>
              <w:t xml:space="preserve">月份价格上浮 </w:t>
            </w:r>
            <w:r>
              <w:rPr>
                <w:rStyle w:val="23"/>
                <w:color w:val="000000" w:themeColor="text1"/>
                <w:sz w:val="21"/>
                <w:szCs w:val="21"/>
                <w:lang w:bidi="ar"/>
                <w14:textFill>
                  <w14:solidFill>
                    <w14:schemeClr w14:val="tx1"/>
                  </w14:solidFill>
                </w14:textFill>
              </w:rPr>
              <w:t>50%</w:t>
            </w:r>
          </w:p>
        </w:tc>
      </w:tr>
      <w:tr w14:paraId="1C5BD9D5">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1D95066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33</w:t>
            </w:r>
          </w:p>
        </w:tc>
        <w:tc>
          <w:tcPr>
            <w:tcW w:w="1384" w:type="dxa"/>
            <w:tcBorders>
              <w:top w:val="single" w:color="000000" w:sz="4" w:space="0"/>
              <w:left w:val="single" w:color="000000" w:sz="4" w:space="0"/>
              <w:bottom w:val="single" w:color="000000" w:sz="4" w:space="0"/>
              <w:right w:val="single" w:color="000000" w:sz="4" w:space="0"/>
            </w:tcBorders>
          </w:tcPr>
          <w:p w14:paraId="7923DFB4">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陕西省</w:t>
            </w:r>
          </w:p>
        </w:tc>
        <w:tc>
          <w:tcPr>
            <w:tcW w:w="1533" w:type="dxa"/>
            <w:tcBorders>
              <w:top w:val="single" w:color="000000" w:sz="4" w:space="0"/>
              <w:left w:val="single" w:color="000000" w:sz="4" w:space="0"/>
              <w:bottom w:val="single" w:color="000000" w:sz="4" w:space="0"/>
              <w:right w:val="single" w:color="000000" w:sz="4" w:space="0"/>
            </w:tcBorders>
          </w:tcPr>
          <w:p w14:paraId="7049FC5E">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61638547">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41FCDA9F">
            <w:pPr>
              <w:rPr>
                <w:rFonts w:ascii="Arial" w:hAnsi="Arial" w:cs="Arial"/>
                <w:color w:val="000000" w:themeColor="text1"/>
                <w:szCs w:val="21"/>
                <w14:textFill>
                  <w14:solidFill>
                    <w14:schemeClr w14:val="tx1"/>
                  </w14:solidFill>
                </w14:textFill>
              </w:rPr>
            </w:pPr>
          </w:p>
        </w:tc>
      </w:tr>
      <w:tr w14:paraId="743D3277">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0AC0929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34</w:t>
            </w:r>
          </w:p>
        </w:tc>
        <w:tc>
          <w:tcPr>
            <w:tcW w:w="1384" w:type="dxa"/>
            <w:tcBorders>
              <w:top w:val="single" w:color="000000" w:sz="4" w:space="0"/>
              <w:left w:val="single" w:color="000000" w:sz="4" w:space="0"/>
              <w:bottom w:val="single" w:color="000000" w:sz="4" w:space="0"/>
              <w:right w:val="single" w:color="000000" w:sz="4" w:space="0"/>
            </w:tcBorders>
          </w:tcPr>
          <w:p w14:paraId="18C3F536">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甘肃省</w:t>
            </w:r>
          </w:p>
        </w:tc>
        <w:tc>
          <w:tcPr>
            <w:tcW w:w="1533" w:type="dxa"/>
            <w:tcBorders>
              <w:top w:val="single" w:color="000000" w:sz="4" w:space="0"/>
              <w:left w:val="single" w:color="000000" w:sz="4" w:space="0"/>
              <w:bottom w:val="single" w:color="000000" w:sz="4" w:space="0"/>
              <w:right w:val="single" w:color="000000" w:sz="4" w:space="0"/>
            </w:tcBorders>
          </w:tcPr>
          <w:p w14:paraId="30A2C9FF">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702C0A0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6488EEC7">
            <w:pPr>
              <w:rPr>
                <w:rFonts w:ascii="Arial" w:hAnsi="Arial" w:cs="Arial"/>
                <w:color w:val="000000" w:themeColor="text1"/>
                <w:szCs w:val="21"/>
                <w14:textFill>
                  <w14:solidFill>
                    <w14:schemeClr w14:val="tx1"/>
                  </w14:solidFill>
                </w14:textFill>
              </w:rPr>
            </w:pPr>
          </w:p>
        </w:tc>
      </w:tr>
      <w:tr w14:paraId="5828EF70">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6AC5E7D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w:t>
            </w:r>
          </w:p>
        </w:tc>
        <w:tc>
          <w:tcPr>
            <w:tcW w:w="1384" w:type="dxa"/>
            <w:tcBorders>
              <w:top w:val="single" w:color="000000" w:sz="4" w:space="0"/>
              <w:left w:val="single" w:color="000000" w:sz="4" w:space="0"/>
              <w:bottom w:val="single" w:color="000000" w:sz="4" w:space="0"/>
              <w:right w:val="single" w:color="000000" w:sz="4" w:space="0"/>
            </w:tcBorders>
          </w:tcPr>
          <w:p w14:paraId="455B9FBC">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青海省</w:t>
            </w:r>
          </w:p>
        </w:tc>
        <w:tc>
          <w:tcPr>
            <w:tcW w:w="1533" w:type="dxa"/>
            <w:tcBorders>
              <w:top w:val="single" w:color="000000" w:sz="4" w:space="0"/>
              <w:left w:val="single" w:color="000000" w:sz="4" w:space="0"/>
              <w:bottom w:val="single" w:color="000000" w:sz="4" w:space="0"/>
              <w:right w:val="single" w:color="000000" w:sz="4" w:space="0"/>
            </w:tcBorders>
          </w:tcPr>
          <w:p w14:paraId="670BC28A">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493320C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497CE9FA">
            <w:pPr>
              <w:widowControl/>
              <w:textAlignment w:val="top"/>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6-9 </w:t>
            </w:r>
            <w:r>
              <w:rPr>
                <w:rStyle w:val="22"/>
                <w:rFonts w:hint="default"/>
                <w:color w:val="000000" w:themeColor="text1"/>
                <w:sz w:val="21"/>
                <w:szCs w:val="21"/>
                <w:lang w:bidi="ar"/>
                <w14:textFill>
                  <w14:solidFill>
                    <w14:schemeClr w14:val="tx1"/>
                  </w14:solidFill>
                </w14:textFill>
              </w:rPr>
              <w:t xml:space="preserve">月份价格上浮 </w:t>
            </w:r>
            <w:r>
              <w:rPr>
                <w:rStyle w:val="23"/>
                <w:color w:val="000000" w:themeColor="text1"/>
                <w:sz w:val="21"/>
                <w:szCs w:val="21"/>
                <w:lang w:bidi="ar"/>
                <w14:textFill>
                  <w14:solidFill>
                    <w14:schemeClr w14:val="tx1"/>
                  </w14:solidFill>
                </w14:textFill>
              </w:rPr>
              <w:t>50%</w:t>
            </w:r>
          </w:p>
        </w:tc>
      </w:tr>
      <w:tr w14:paraId="747F08ED">
        <w:tblPrEx>
          <w:tblCellMar>
            <w:top w:w="0" w:type="dxa"/>
            <w:left w:w="108" w:type="dxa"/>
            <w:bottom w:w="0" w:type="dxa"/>
            <w:right w:w="108" w:type="dxa"/>
          </w:tblCellMar>
        </w:tblPrEx>
        <w:trPr>
          <w:trHeight w:val="285" w:hRule="atLeast"/>
        </w:trPr>
        <w:tc>
          <w:tcPr>
            <w:tcW w:w="1066" w:type="dxa"/>
            <w:tcBorders>
              <w:top w:val="single" w:color="000000" w:sz="4" w:space="0"/>
              <w:left w:val="single" w:color="000000" w:sz="4" w:space="0"/>
              <w:bottom w:val="single" w:color="000000" w:sz="4" w:space="0"/>
              <w:right w:val="single" w:color="000000" w:sz="4" w:space="0"/>
            </w:tcBorders>
          </w:tcPr>
          <w:p w14:paraId="357690C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36</w:t>
            </w:r>
          </w:p>
        </w:tc>
        <w:tc>
          <w:tcPr>
            <w:tcW w:w="1384" w:type="dxa"/>
            <w:tcBorders>
              <w:top w:val="single" w:color="000000" w:sz="4" w:space="0"/>
              <w:left w:val="single" w:color="000000" w:sz="4" w:space="0"/>
              <w:bottom w:val="single" w:color="000000" w:sz="4" w:space="0"/>
              <w:right w:val="single" w:color="000000" w:sz="4" w:space="0"/>
            </w:tcBorders>
          </w:tcPr>
          <w:p w14:paraId="209DDEA4">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宁夏</w:t>
            </w:r>
          </w:p>
        </w:tc>
        <w:tc>
          <w:tcPr>
            <w:tcW w:w="1533" w:type="dxa"/>
            <w:tcBorders>
              <w:top w:val="single" w:color="000000" w:sz="4" w:space="0"/>
              <w:left w:val="single" w:color="000000" w:sz="4" w:space="0"/>
              <w:bottom w:val="single" w:color="000000" w:sz="4" w:space="0"/>
              <w:right w:val="single" w:color="000000" w:sz="4" w:space="0"/>
            </w:tcBorders>
          </w:tcPr>
          <w:p w14:paraId="63730F12">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5016090B">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tcPr>
          <w:p w14:paraId="7865CD39">
            <w:pPr>
              <w:rPr>
                <w:rFonts w:ascii="Arial" w:hAnsi="Arial" w:cs="Arial"/>
                <w:color w:val="000000" w:themeColor="text1"/>
                <w:szCs w:val="21"/>
                <w14:textFill>
                  <w14:solidFill>
                    <w14:schemeClr w14:val="tx1"/>
                  </w14:solidFill>
                </w14:textFill>
              </w:rPr>
            </w:pPr>
          </w:p>
        </w:tc>
      </w:tr>
      <w:tr w14:paraId="41506188">
        <w:tblPrEx>
          <w:tblCellMar>
            <w:top w:w="0" w:type="dxa"/>
            <w:left w:w="108" w:type="dxa"/>
            <w:bottom w:w="0" w:type="dxa"/>
            <w:right w:w="108" w:type="dxa"/>
          </w:tblCellMar>
        </w:tblPrEx>
        <w:trPr>
          <w:trHeight w:val="90" w:hRule="atLeast"/>
        </w:trPr>
        <w:tc>
          <w:tcPr>
            <w:tcW w:w="1066" w:type="dxa"/>
            <w:tcBorders>
              <w:top w:val="single" w:color="000000" w:sz="4" w:space="0"/>
              <w:left w:val="single" w:color="000000" w:sz="4" w:space="0"/>
              <w:bottom w:val="single" w:color="000000" w:sz="4" w:space="0"/>
              <w:right w:val="single" w:color="000000" w:sz="4" w:space="0"/>
            </w:tcBorders>
          </w:tcPr>
          <w:p w14:paraId="48866ACD">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37</w:t>
            </w:r>
          </w:p>
        </w:tc>
        <w:tc>
          <w:tcPr>
            <w:tcW w:w="1384" w:type="dxa"/>
            <w:tcBorders>
              <w:top w:val="single" w:color="000000" w:sz="4" w:space="0"/>
              <w:left w:val="single" w:color="000000" w:sz="4" w:space="0"/>
              <w:bottom w:val="single" w:color="000000" w:sz="4" w:space="0"/>
              <w:right w:val="single" w:color="000000" w:sz="4" w:space="0"/>
            </w:tcBorders>
          </w:tcPr>
          <w:p w14:paraId="67BC1A4E">
            <w:pPr>
              <w:widowControl/>
              <w:textAlignment w:val="top"/>
              <w:rPr>
                <w:rFonts w:hint="eastAsia" w:ascii="宋体" w:hAnsi="宋体" w:cs="宋体"/>
                <w:color w:val="000000" w:themeColor="text1"/>
                <w:sz w:val="24"/>
                <w14:textFill>
                  <w14:solidFill>
                    <w14:schemeClr w14:val="tx1"/>
                  </w14:solidFill>
                </w14:textFill>
              </w:rPr>
            </w:pPr>
            <w:r>
              <w:rPr>
                <w:rStyle w:val="22"/>
                <w:rFonts w:hint="default"/>
                <w:color w:val="000000" w:themeColor="text1"/>
                <w:lang w:bidi="ar"/>
                <w14:textFill>
                  <w14:solidFill>
                    <w14:schemeClr w14:val="tx1"/>
                  </w14:solidFill>
                </w14:textFill>
              </w:rPr>
              <w:t>新疆</w:t>
            </w:r>
          </w:p>
        </w:tc>
        <w:tc>
          <w:tcPr>
            <w:tcW w:w="1533" w:type="dxa"/>
            <w:tcBorders>
              <w:top w:val="single" w:color="000000" w:sz="4" w:space="0"/>
              <w:left w:val="single" w:color="000000" w:sz="4" w:space="0"/>
              <w:bottom w:val="single" w:color="000000" w:sz="4" w:space="0"/>
              <w:right w:val="single" w:color="000000" w:sz="4" w:space="0"/>
            </w:tcBorders>
          </w:tcPr>
          <w:p w14:paraId="364A0864">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350</w:t>
            </w:r>
          </w:p>
        </w:tc>
        <w:tc>
          <w:tcPr>
            <w:tcW w:w="1350" w:type="dxa"/>
            <w:tcBorders>
              <w:top w:val="single" w:color="000000" w:sz="4" w:space="0"/>
              <w:left w:val="single" w:color="000000" w:sz="4" w:space="0"/>
              <w:bottom w:val="single" w:color="000000" w:sz="4" w:space="0"/>
              <w:right w:val="single" w:color="000000" w:sz="4" w:space="0"/>
            </w:tcBorders>
          </w:tcPr>
          <w:p w14:paraId="5130A6F0">
            <w:pPr>
              <w:widowControl/>
              <w:jc w:val="center"/>
              <w:textAlignment w:val="top"/>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300</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52813162">
            <w:pPr>
              <w:rPr>
                <w:rFonts w:hint="eastAsia" w:ascii="宋体" w:hAnsi="宋体" w:cs="宋体"/>
                <w:color w:val="000000" w:themeColor="text1"/>
                <w:sz w:val="22"/>
                <w:szCs w:val="22"/>
                <w14:textFill>
                  <w14:solidFill>
                    <w14:schemeClr w14:val="tx1"/>
                  </w14:solidFill>
                </w14:textFill>
              </w:rPr>
            </w:pPr>
          </w:p>
        </w:tc>
      </w:tr>
    </w:tbl>
    <w:p w14:paraId="299E9F1E">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4EE03424">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322E220A">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0E42F90F">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51F8497A">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356D6294">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1F62004A">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7717CBE2">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3F8029F5">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7F179A74">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20192F77">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7851EB93">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3F0E929A">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45F9358D">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77B7E516">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44B4AB38">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17352413">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5055E2A9">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0A223ADC">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7397A8E5">
      <w:pPr>
        <w:pStyle w:val="8"/>
        <w:shd w:val="clear" w:color="auto" w:fill="FFFFFF"/>
        <w:spacing w:before="0" w:beforeAutospacing="0" w:after="0" w:afterAutospacing="0" w:line="555" w:lineRule="atLeast"/>
        <w:rPr>
          <w:rFonts w:ascii="仿宋_GB2312" w:hAnsi="Times New Roman" w:eastAsia="仿宋_GB2312" w:cs="仿宋_GB2312"/>
          <w:sz w:val="32"/>
          <w:szCs w:val="32"/>
          <w:lang w:bidi="ar"/>
        </w:rPr>
      </w:pPr>
    </w:p>
    <w:p w14:paraId="251556CF">
      <w:pPr>
        <w:pStyle w:val="8"/>
        <w:shd w:val="clear" w:color="auto" w:fill="FFFFFF"/>
        <w:spacing w:before="0" w:beforeAutospacing="0" w:after="0" w:afterAutospacing="0" w:line="555" w:lineRule="atLeast"/>
        <w:rPr>
          <w:rFonts w:hint="eastAsia" w:ascii="黑体" w:hAnsi="黑体" w:eastAsia="黑体" w:cs="黑体"/>
          <w:b w:val="0"/>
          <w:bCs w:val="0"/>
          <w:sz w:val="32"/>
          <w:szCs w:val="32"/>
          <w:lang w:val="en-US" w:eastAsia="zh-CN" w:bidi="ar"/>
        </w:rPr>
      </w:pPr>
      <w:r>
        <w:rPr>
          <w:rFonts w:hint="eastAsia" w:ascii="黑体" w:hAnsi="黑体" w:eastAsia="黑体" w:cs="黑体"/>
          <w:b w:val="0"/>
          <w:bCs w:val="0"/>
          <w:sz w:val="32"/>
          <w:szCs w:val="32"/>
          <w:lang w:val="en-US" w:eastAsia="zh-CN" w:bidi="ar"/>
        </w:rPr>
        <w:t>附表2</w:t>
      </w:r>
    </w:p>
    <w:p w14:paraId="43BA6B95">
      <w:pPr>
        <w:pStyle w:val="8"/>
        <w:shd w:val="clear" w:color="auto" w:fill="FFFFFF"/>
        <w:spacing w:before="0" w:beforeAutospacing="0" w:after="0" w:afterAutospacing="0" w:line="555" w:lineRule="atLeast"/>
        <w:jc w:val="center"/>
        <w:rPr>
          <w:rFonts w:hint="eastAsia" w:ascii="方正小标宋简体" w:hAnsi="方正小标宋简体" w:eastAsia="方正小标宋简体" w:cs="方正小标宋简体"/>
          <w:b w:val="0"/>
          <w:bCs w:val="0"/>
          <w:sz w:val="44"/>
          <w:szCs w:val="44"/>
          <w:lang w:bidi="ar"/>
        </w:rPr>
      </w:pPr>
      <w:r>
        <w:rPr>
          <w:rFonts w:hint="eastAsia" w:ascii="方正小标宋简体" w:hAnsi="方正小标宋简体" w:eastAsia="方正小标宋简体" w:cs="方正小标宋简体"/>
          <w:b w:val="0"/>
          <w:bCs w:val="0"/>
          <w:sz w:val="44"/>
          <w:szCs w:val="44"/>
          <w:lang w:bidi="ar"/>
        </w:rPr>
        <w:t>差旅发票票样</w:t>
      </w:r>
    </w:p>
    <w:p w14:paraId="61BE106A">
      <w:pPr>
        <w:pStyle w:val="8"/>
        <w:shd w:val="clear" w:color="auto" w:fill="FFFFFF"/>
        <w:spacing w:before="0" w:beforeAutospacing="0" w:after="0" w:afterAutospacing="0" w:line="555" w:lineRule="atLeast"/>
        <w:rPr>
          <w:rFonts w:hint="default" w:ascii="仿宋_GB2312" w:hAnsi="Times New Roman" w:eastAsia="仿宋_GB2312" w:cs="仿宋_GB2312"/>
          <w:sz w:val="32"/>
          <w:szCs w:val="32"/>
          <w:lang w:bidi="ar"/>
        </w:rPr>
      </w:pPr>
      <w:r>
        <w:rPr>
          <w:rFonts w:ascii="仿宋_GB2312" w:hAnsi="Times New Roman" w:eastAsia="仿宋_GB2312" w:cs="仿宋_GB2312"/>
          <w:sz w:val="32"/>
          <w:szCs w:val="32"/>
          <w:lang w:bidi="ar"/>
        </w:rPr>
        <w:t>（一）动车电子发票：（买方名称为公司名称）</w:t>
      </w:r>
    </w:p>
    <w:p w14:paraId="538891D1">
      <w:pPr>
        <w:pStyle w:val="8"/>
        <w:shd w:val="clear" w:color="auto" w:fill="FFFFFF"/>
        <w:spacing w:before="0" w:beforeAutospacing="0" w:after="0" w:afterAutospacing="0" w:line="555" w:lineRule="atLeast"/>
        <w:jc w:val="center"/>
        <w:rPr>
          <w:rFonts w:hint="default" w:ascii="仿宋_GB2312" w:hAnsi="Times New Roman" w:eastAsia="仿宋_GB2312" w:cs="仿宋_GB2312"/>
          <w:sz w:val="30"/>
          <w:szCs w:val="30"/>
          <w:lang w:bidi="ar"/>
        </w:rPr>
      </w:pPr>
      <w:r>
        <w:drawing>
          <wp:inline distT="0" distB="0" distL="114300" distR="114300">
            <wp:extent cx="5502275" cy="3298190"/>
            <wp:effectExtent l="0" t="0" r="317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5502275" cy="3298190"/>
                    </a:xfrm>
                    <a:prstGeom prst="rect">
                      <a:avLst/>
                    </a:prstGeom>
                    <a:noFill/>
                    <a:ln>
                      <a:noFill/>
                    </a:ln>
                  </pic:spPr>
                </pic:pic>
              </a:graphicData>
            </a:graphic>
          </wp:inline>
        </w:drawing>
      </w:r>
    </w:p>
    <w:p w14:paraId="394EDA90">
      <w:pPr>
        <w:pStyle w:val="8"/>
        <w:shd w:val="clear" w:color="auto" w:fill="FFFFFF"/>
        <w:spacing w:before="0" w:beforeAutospacing="0" w:after="0" w:afterAutospacing="0" w:line="555" w:lineRule="atLeast"/>
        <w:rPr>
          <w:rFonts w:hint="default" w:ascii="仿宋_GB2312" w:hAnsi="Times New Roman" w:eastAsia="仿宋_GB2312" w:cs="仿宋_GB2312"/>
          <w:sz w:val="32"/>
          <w:szCs w:val="32"/>
          <w:lang w:bidi="ar"/>
        </w:rPr>
      </w:pPr>
      <w:r>
        <w:rPr>
          <w:rFonts w:ascii="仿宋_GB2312" w:hAnsi="Times New Roman" w:eastAsia="仿宋_GB2312" w:cs="仿宋_GB2312"/>
          <w:sz w:val="32"/>
          <w:szCs w:val="32"/>
          <w:lang w:bidi="ar"/>
        </w:rPr>
        <w:t>（二）飞机电子发票（买方名称为公司名称）</w:t>
      </w:r>
    </w:p>
    <w:p w14:paraId="2123A5C6">
      <w:pPr>
        <w:pStyle w:val="8"/>
        <w:shd w:val="clear" w:color="auto" w:fill="FFFFFF"/>
        <w:spacing w:before="0" w:beforeAutospacing="0" w:after="0" w:afterAutospacing="0" w:line="555" w:lineRule="atLeast"/>
        <w:jc w:val="center"/>
        <w:rPr>
          <w:rFonts w:asciiTheme="majorEastAsia" w:hAnsiTheme="majorEastAsia" w:eastAsiaTheme="majorEastAsia" w:cstheme="majorEastAsia"/>
          <w:snapToGrid w:val="0"/>
          <w:sz w:val="30"/>
          <w:szCs w:val="30"/>
        </w:rPr>
      </w:pPr>
      <w:r>
        <w:drawing>
          <wp:inline distT="0" distB="0" distL="114300" distR="114300">
            <wp:extent cx="5415915" cy="3604260"/>
            <wp:effectExtent l="0" t="0" r="13335"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415915" cy="3604260"/>
                    </a:xfrm>
                    <a:prstGeom prst="rect">
                      <a:avLst/>
                    </a:prstGeom>
                    <a:noFill/>
                    <a:ln>
                      <a:noFill/>
                    </a:ln>
                  </pic:spPr>
                </pic:pic>
              </a:graphicData>
            </a:graphic>
          </wp:inline>
        </w:drawing>
      </w:r>
    </w:p>
    <w:p w14:paraId="6F9B6023">
      <w:pPr>
        <w:pStyle w:val="8"/>
        <w:shd w:val="clear" w:color="auto" w:fill="FFFFFF"/>
        <w:spacing w:before="0" w:beforeAutospacing="0" w:after="0" w:afterAutospacing="0" w:line="555" w:lineRule="atLeast"/>
        <w:rPr>
          <w:rFonts w:hint="default" w:ascii="仿宋_GB2312" w:hAnsi="Times New Roman" w:eastAsia="仿宋_GB2312" w:cs="仿宋_GB2312"/>
          <w:sz w:val="32"/>
          <w:szCs w:val="32"/>
          <w:lang w:bidi="ar"/>
        </w:rPr>
      </w:pPr>
      <w:r>
        <w:rPr>
          <w:rFonts w:ascii="仿宋_GB2312" w:hAnsi="Times New Roman" w:eastAsia="仿宋_GB2312" w:cs="仿宋_GB2312"/>
          <w:sz w:val="30"/>
          <w:szCs w:val="30"/>
          <w:lang w:bidi="ar"/>
        </w:rPr>
        <w:t>（</w:t>
      </w:r>
      <w:r>
        <w:rPr>
          <w:rFonts w:ascii="仿宋_GB2312" w:hAnsi="Times New Roman" w:eastAsia="仿宋_GB2312" w:cs="仿宋_GB2312"/>
          <w:sz w:val="32"/>
          <w:szCs w:val="32"/>
          <w:lang w:bidi="ar"/>
        </w:rPr>
        <w:t>三）住宿发票（购买方名称为公司名称）</w:t>
      </w:r>
    </w:p>
    <w:p w14:paraId="36C41C4C">
      <w:pPr>
        <w:pStyle w:val="8"/>
        <w:shd w:val="clear" w:color="auto" w:fill="FFFFFF"/>
        <w:spacing w:before="0" w:beforeAutospacing="0" w:after="0" w:afterAutospacing="0" w:line="555" w:lineRule="atLeast"/>
        <w:rPr>
          <w:rFonts w:asciiTheme="majorEastAsia" w:hAnsiTheme="majorEastAsia" w:eastAsiaTheme="majorEastAsia" w:cstheme="majorEastAsia"/>
          <w:snapToGrid w:val="0"/>
          <w:sz w:val="30"/>
          <w:szCs w:val="30"/>
        </w:rPr>
      </w:pPr>
      <w:r>
        <w:drawing>
          <wp:inline distT="0" distB="0" distL="114300" distR="114300">
            <wp:extent cx="5721985" cy="3432810"/>
            <wp:effectExtent l="0" t="0" r="12065" b="152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721985" cy="3432810"/>
                    </a:xfrm>
                    <a:prstGeom prst="rect">
                      <a:avLst/>
                    </a:prstGeom>
                    <a:noFill/>
                    <a:ln>
                      <a:noFill/>
                    </a:ln>
                  </pic:spPr>
                </pic:pic>
              </a:graphicData>
            </a:graphic>
          </wp:inline>
        </w:drawing>
      </w:r>
    </w:p>
    <w:p w14:paraId="1C7E5392">
      <w:pPr>
        <w:pStyle w:val="8"/>
        <w:shd w:val="clear" w:color="auto" w:fill="FFFFFF"/>
        <w:spacing w:before="0" w:beforeAutospacing="0" w:after="0" w:afterAutospacing="0" w:line="555" w:lineRule="atLeast"/>
        <w:rPr>
          <w:rFonts w:hint="default" w:ascii="仿宋_GB2312" w:hAnsi="Times New Roman" w:eastAsia="仿宋_GB2312" w:cs="仿宋_GB2312"/>
          <w:sz w:val="28"/>
          <w:szCs w:val="28"/>
          <w:lang w:bidi="ar"/>
        </w:rPr>
      </w:pPr>
      <w:r>
        <w:rPr>
          <w:rFonts w:ascii="仿宋_GB2312" w:hAnsi="Times New Roman" w:eastAsia="仿宋_GB2312" w:cs="仿宋_GB2312"/>
          <w:sz w:val="28"/>
          <w:szCs w:val="28"/>
          <w:lang w:bidi="ar"/>
        </w:rPr>
        <w:t>根据住宿报销要求：住宿费发票须备注入住人员信息（如某*人、几间、几晚、单价、所在城市等）</w:t>
      </w:r>
    </w:p>
    <w:p w14:paraId="0043C8A2">
      <w:pPr>
        <w:widowControl/>
        <w:jc w:val="left"/>
        <w:rPr>
          <w:rFonts w:hint="eastAsia" w:ascii="仿宋_GB2312" w:eastAsia="仿宋_GB2312" w:cs="仿宋_GB2312"/>
          <w:sz w:val="30"/>
          <w:szCs w:val="30"/>
          <w:lang w:bidi="ar"/>
        </w:rPr>
      </w:pPr>
    </w:p>
    <w:p w14:paraId="058F3D59">
      <w:pPr>
        <w:widowControl/>
        <w:jc w:val="left"/>
        <w:rPr>
          <w:rFonts w:hint="eastAsia" w:ascii="仿宋_GB2312" w:eastAsia="仿宋_GB2312" w:cs="仿宋_GB2312"/>
          <w:sz w:val="30"/>
          <w:szCs w:val="30"/>
          <w:lang w:bidi="ar"/>
        </w:rPr>
      </w:pPr>
    </w:p>
    <w:p w14:paraId="68459AD0">
      <w:pPr>
        <w:widowControl/>
        <w:jc w:val="left"/>
        <w:rPr>
          <w:rFonts w:hint="eastAsia" w:ascii="仿宋_GB2312" w:eastAsia="仿宋_GB2312" w:cs="仿宋_GB2312"/>
          <w:sz w:val="30"/>
          <w:szCs w:val="30"/>
          <w:lang w:bidi="ar"/>
        </w:rPr>
      </w:pPr>
    </w:p>
    <w:p w14:paraId="041C0245">
      <w:pPr>
        <w:widowControl/>
        <w:jc w:val="left"/>
        <w:rPr>
          <w:rFonts w:hint="eastAsia" w:ascii="仿宋_GB2312" w:eastAsia="仿宋_GB2312" w:cs="仿宋_GB2312"/>
          <w:sz w:val="30"/>
          <w:szCs w:val="30"/>
          <w:lang w:bidi="ar"/>
        </w:rPr>
      </w:pPr>
    </w:p>
    <w:p w14:paraId="2F2D2176">
      <w:pPr>
        <w:widowControl/>
        <w:jc w:val="left"/>
        <w:rPr>
          <w:rFonts w:hint="eastAsia" w:ascii="仿宋_GB2312" w:eastAsia="仿宋_GB2312" w:cs="仿宋_GB2312"/>
          <w:sz w:val="30"/>
          <w:szCs w:val="30"/>
          <w:lang w:bidi="ar"/>
        </w:rPr>
      </w:pPr>
    </w:p>
    <w:p w14:paraId="59D4062F">
      <w:pPr>
        <w:widowControl/>
        <w:jc w:val="left"/>
        <w:rPr>
          <w:rFonts w:hint="eastAsia" w:ascii="仿宋_GB2312" w:eastAsia="仿宋_GB2312" w:cs="仿宋_GB2312"/>
          <w:sz w:val="30"/>
          <w:szCs w:val="30"/>
          <w:lang w:bidi="ar"/>
        </w:rPr>
      </w:pPr>
    </w:p>
    <w:p w14:paraId="28F7AB10">
      <w:pPr>
        <w:widowControl/>
        <w:jc w:val="left"/>
        <w:rPr>
          <w:rFonts w:hint="eastAsia" w:ascii="仿宋_GB2312" w:eastAsia="仿宋_GB2312" w:cs="仿宋_GB2312"/>
          <w:sz w:val="30"/>
          <w:szCs w:val="30"/>
          <w:lang w:bidi="ar"/>
        </w:rPr>
      </w:pPr>
    </w:p>
    <w:p w14:paraId="68D7A69F">
      <w:pPr>
        <w:widowControl/>
        <w:jc w:val="left"/>
        <w:rPr>
          <w:rFonts w:hint="eastAsia" w:ascii="仿宋_GB2312" w:eastAsia="仿宋_GB2312" w:cs="仿宋_GB2312"/>
          <w:sz w:val="30"/>
          <w:szCs w:val="30"/>
          <w:lang w:bidi="ar"/>
        </w:rPr>
      </w:pPr>
    </w:p>
    <w:p w14:paraId="29D83330">
      <w:pPr>
        <w:widowControl/>
        <w:jc w:val="left"/>
        <w:rPr>
          <w:rFonts w:hint="eastAsia" w:ascii="仿宋_GB2312" w:eastAsia="仿宋_GB2312" w:cs="仿宋_GB2312"/>
          <w:sz w:val="30"/>
          <w:szCs w:val="30"/>
          <w:lang w:bidi="ar"/>
        </w:rPr>
      </w:pPr>
    </w:p>
    <w:p w14:paraId="201ADE03">
      <w:pPr>
        <w:widowControl/>
        <w:jc w:val="left"/>
        <w:rPr>
          <w:rFonts w:hint="eastAsia" w:ascii="仿宋_GB2312" w:eastAsia="仿宋_GB2312" w:cs="仿宋_GB2312"/>
          <w:sz w:val="30"/>
          <w:szCs w:val="30"/>
          <w:lang w:bidi="ar"/>
        </w:rPr>
      </w:pPr>
    </w:p>
    <w:p w14:paraId="01D7F9CE">
      <w:pPr>
        <w:widowControl/>
        <w:spacing w:line="520" w:lineRule="exact"/>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附件8</w:t>
      </w:r>
    </w:p>
    <w:p w14:paraId="126329E6">
      <w:pPr>
        <w:widowControl/>
        <w:spacing w:line="520" w:lineRule="exact"/>
        <w:jc w:val="center"/>
        <w:rPr>
          <w:rFonts w:hint="eastAsia" w:ascii="方正小标宋简体" w:hAnsi="方正小标宋简体" w:eastAsia="方正小标宋简体" w:cs="方正小标宋简体"/>
          <w:b w:val="0"/>
          <w:bCs/>
          <w:kern w:val="44"/>
          <w:sz w:val="44"/>
        </w:rPr>
      </w:pPr>
      <w:r>
        <w:rPr>
          <w:rFonts w:hint="eastAsia" w:ascii="方正小标宋简体" w:hAnsi="方正小标宋简体" w:eastAsia="方正小标宋简体" w:cs="方正小标宋简体"/>
          <w:b w:val="0"/>
          <w:bCs/>
          <w:kern w:val="44"/>
          <w:sz w:val="44"/>
          <w:lang w:val="en-US" w:eastAsia="zh-CN"/>
        </w:rPr>
        <w:t>2026年</w:t>
      </w:r>
      <w:r>
        <w:rPr>
          <w:rFonts w:hint="eastAsia" w:ascii="方正小标宋简体" w:hAnsi="方正小标宋简体" w:eastAsia="方正小标宋简体" w:cs="方正小标宋简体"/>
          <w:b w:val="0"/>
          <w:bCs/>
          <w:kern w:val="44"/>
          <w:sz w:val="44"/>
        </w:rPr>
        <w:t>固定资产管理办法</w:t>
      </w:r>
    </w:p>
    <w:p w14:paraId="014B0E29">
      <w:pPr>
        <w:spacing w:line="520" w:lineRule="exact"/>
        <w:jc w:val="center"/>
        <w:rPr>
          <w:rFonts w:ascii="Arial" w:hAnsi="Arial" w:eastAsia="黑体"/>
          <w:b/>
          <w:sz w:val="32"/>
        </w:rPr>
      </w:pPr>
    </w:p>
    <w:p w14:paraId="376AF7D0">
      <w:pPr>
        <w:keepNext w:val="0"/>
        <w:keepLines w:val="0"/>
        <w:pageBreakBefore w:val="0"/>
        <w:numPr>
          <w:ilvl w:val="0"/>
          <w:numId w:val="1"/>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sz w:val="32"/>
        </w:rPr>
      </w:pPr>
      <w:r>
        <w:rPr>
          <w:rFonts w:hint="eastAsia" w:ascii="黑体" w:hAnsi="黑体" w:eastAsia="黑体" w:cs="黑体"/>
          <w:b w:val="0"/>
          <w:bCs/>
          <w:sz w:val="32"/>
        </w:rPr>
        <w:t>总则</w:t>
      </w:r>
    </w:p>
    <w:p w14:paraId="1DB1B3E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第一条</w:t>
      </w:r>
      <w:r>
        <w:rPr>
          <w:rFonts w:hint="eastAsia" w:ascii="仿宋_GB2312" w:eastAsia="仿宋_GB2312" w:cs="仿宋_GB2312"/>
          <w:sz w:val="32"/>
          <w:szCs w:val="32"/>
          <w:lang w:val="en-US" w:eastAsia="zh-CN" w:bidi="ar"/>
        </w:rPr>
        <w:t xml:space="preserve"> </w:t>
      </w:r>
      <w:r>
        <w:rPr>
          <w:rFonts w:hint="eastAsia" w:ascii="仿宋_GB2312" w:eastAsia="仿宋_GB2312" w:cs="仿宋_GB2312"/>
          <w:sz w:val="32"/>
          <w:szCs w:val="32"/>
          <w:lang w:bidi="ar"/>
        </w:rPr>
        <w:t>为加强固定资产管理，提高固定资产运营质量和效益，根据集团公司固定资产管理暂行办法</w:t>
      </w:r>
      <w:r>
        <w:rPr>
          <w:rFonts w:hint="eastAsia" w:ascii="仿宋_GB2312" w:eastAsia="仿宋_GB2312" w:cs="仿宋_GB2312"/>
          <w:sz w:val="32"/>
          <w:szCs w:val="32"/>
          <w:lang w:bidi="ar"/>
        </w:rPr>
        <w:t>规定，结合公司实际，</w:t>
      </w:r>
      <w:r>
        <w:rPr>
          <w:rFonts w:hint="eastAsia" w:ascii="仿宋_GB2312" w:eastAsia="仿宋_GB2312" w:cs="仿宋_GB2312"/>
          <w:sz w:val="32"/>
          <w:szCs w:val="32"/>
          <w:lang w:eastAsia="zh-CN" w:bidi="ar"/>
        </w:rPr>
        <w:t>制定</w:t>
      </w:r>
      <w:r>
        <w:rPr>
          <w:rFonts w:hint="eastAsia" w:ascii="仿宋_GB2312" w:eastAsia="仿宋_GB2312" w:cs="仿宋_GB2312"/>
          <w:sz w:val="32"/>
          <w:szCs w:val="32"/>
          <w:lang w:bidi="ar"/>
        </w:rPr>
        <w:t xml:space="preserve">本办法。 </w:t>
      </w:r>
    </w:p>
    <w:p w14:paraId="1A93ABF9">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第二条</w:t>
      </w:r>
      <w:r>
        <w:rPr>
          <w:rFonts w:hint="eastAsia" w:ascii="仿宋_GB2312" w:eastAsia="仿宋_GB2312" w:cs="仿宋_GB2312"/>
          <w:sz w:val="32"/>
          <w:szCs w:val="32"/>
          <w:lang w:val="en-US" w:eastAsia="zh-CN" w:bidi="ar"/>
        </w:rPr>
        <w:t xml:space="preserve"> </w:t>
      </w:r>
      <w:r>
        <w:rPr>
          <w:rFonts w:hint="eastAsia" w:ascii="仿宋_GB2312" w:eastAsia="仿宋_GB2312" w:cs="仿宋_GB2312"/>
          <w:sz w:val="32"/>
          <w:szCs w:val="32"/>
          <w:lang w:bidi="ar"/>
        </w:rPr>
        <w:t xml:space="preserve">本办法所称固定资产，是指为生产商品、提供劳务、出租或经营管理而持有的且使用寿命超过一个会计年度的有形资产，主要包括房屋、建（构）筑物、机器、机械、运输工具以及其他与生产经营活动有关的设备、仪器仪表、生产管理用具等。 </w:t>
      </w:r>
    </w:p>
    <w:p w14:paraId="03126139">
      <w:pPr>
        <w:keepNext w:val="0"/>
        <w:keepLines w:val="0"/>
        <w:pageBreakBefore w:val="0"/>
        <w:numPr>
          <w:numId w:val="0"/>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sz w:val="32"/>
        </w:rPr>
      </w:pPr>
      <w:r>
        <w:rPr>
          <w:rFonts w:hint="eastAsia" w:ascii="黑体" w:hAnsi="黑体" w:eastAsia="黑体" w:cs="黑体"/>
          <w:b w:val="0"/>
          <w:bCs/>
          <w:sz w:val="32"/>
        </w:rPr>
        <w:t>第二章 组织机构及职责</w:t>
      </w:r>
    </w:p>
    <w:p w14:paraId="73286D0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第三条 </w:t>
      </w:r>
      <w:r>
        <w:rPr>
          <w:rFonts w:hint="eastAsia" w:ascii="仿宋_GB2312" w:eastAsia="仿宋_GB2312" w:cs="仿宋_GB2312"/>
          <w:sz w:val="32"/>
          <w:szCs w:val="32"/>
          <w:lang w:bidi="ar"/>
        </w:rPr>
        <w:t>成立固定资产管理领导小组</w:t>
      </w:r>
    </w:p>
    <w:p w14:paraId="70EB443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组</w:t>
      </w:r>
      <w:r>
        <w:rPr>
          <w:rFonts w:hint="eastAsia" w:ascii="仿宋_GB2312" w:eastAsia="仿宋_GB2312" w:cs="仿宋_GB2312"/>
          <w:sz w:val="32"/>
          <w:szCs w:val="32"/>
          <w:lang w:val="en-US" w:eastAsia="zh-CN" w:bidi="ar"/>
        </w:rPr>
        <w:t xml:space="preserve">  </w:t>
      </w:r>
      <w:r>
        <w:rPr>
          <w:rFonts w:hint="eastAsia" w:ascii="仿宋_GB2312" w:eastAsia="仿宋_GB2312" w:cs="仿宋_GB2312"/>
          <w:sz w:val="32"/>
          <w:szCs w:val="32"/>
          <w:lang w:bidi="ar"/>
        </w:rPr>
        <w:t>长：党委书记/董事长、副总经理（主持工作）</w:t>
      </w:r>
    </w:p>
    <w:p w14:paraId="0CA3E17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副组长：纪委书记、副总经理、工程师</w:t>
      </w:r>
    </w:p>
    <w:p w14:paraId="060C9D9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成  员：副总师、设备管理部、生产技术部、调度指挥中心、安全监管部、综合部、财务部、经管物资部、销售采购部、纪委、人力资源部为成员。</w:t>
      </w:r>
    </w:p>
    <w:p w14:paraId="2D05A4A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领导小组办公室设在财务部，负责日常工作。</w:t>
      </w:r>
    </w:p>
    <w:p w14:paraId="4C89B657">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（一）固定资产领导小组主要职责，负责审议年度工程投资计划、审议固定资产报废鉴定报告；指导监督固定资产管理；协调解决固定资产管理重要事项。 </w:t>
      </w:r>
    </w:p>
    <w:p w14:paraId="5A24F92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经管物资部负责固定资产的投资管理，包括年度固定资产投资计划汇总编制、上报工作，年度固定资产投资实施情况统计、上报工作及增补固定资产投资上报工作；负责厂区内房屋、建（构）筑物管理；负责固定资产的招标管理，负责固定资产报废上报、报废处置工作。</w:t>
      </w:r>
    </w:p>
    <w:p w14:paraId="5776327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bookmarkStart w:id="6" w:name="OLE_LINK5"/>
      <w:r>
        <w:rPr>
          <w:rFonts w:hint="eastAsia" w:ascii="仿宋_GB2312" w:eastAsia="仿宋_GB2312" w:cs="仿宋_GB2312"/>
          <w:sz w:val="32"/>
          <w:szCs w:val="32"/>
          <w:lang w:bidi="ar"/>
        </w:rPr>
        <w:t>（三）销售采购部负责设备采购，以及管辖范围内固定资产的登记与维护管理。</w:t>
      </w:r>
      <w:bookmarkEnd w:id="6"/>
    </w:p>
    <w:p w14:paraId="6C79EF8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（四）设备管理部负责厂区内设备、装置组织验收、建账，设备图纸与技术资料收集整理，设备维修及组织报废鉴定工作。</w:t>
      </w:r>
    </w:p>
    <w:p w14:paraId="1CE68C5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（五）生产技术部、安全监管部、纪委、人力资源部、综合部，负责管辖内设备、装置的保管、保养、使用、统计工作。</w:t>
      </w:r>
    </w:p>
    <w:p w14:paraId="53A1F8E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（六）财务部负责建立健全公司固定资产管理办法、固定资产核算，</w:t>
      </w:r>
      <w:r>
        <w:rPr>
          <w:rFonts w:hint="eastAsia" w:ascii="仿宋_GB2312" w:eastAsia="仿宋_GB2312" w:cs="仿宋_GB2312"/>
          <w:sz w:val="32"/>
          <w:szCs w:val="32"/>
          <w:lang w:eastAsia="zh-CN" w:bidi="ar"/>
        </w:rPr>
        <w:t>建立</w:t>
      </w:r>
      <w:r>
        <w:rPr>
          <w:rFonts w:hint="eastAsia" w:ascii="仿宋_GB2312" w:eastAsia="仿宋_GB2312" w:cs="仿宋_GB2312"/>
          <w:sz w:val="32"/>
          <w:szCs w:val="32"/>
          <w:lang w:bidi="ar"/>
        </w:rPr>
        <w:t xml:space="preserve">固定资产卡片（确保账、卡、物一致），组织清查盘点及建立固定资产报废台账。 </w:t>
      </w:r>
    </w:p>
    <w:p w14:paraId="07D5E0CE">
      <w:pPr>
        <w:keepNext w:val="0"/>
        <w:keepLines w:val="0"/>
        <w:pageBreakBefore w:val="0"/>
        <w:numPr>
          <w:ilvl w:val="0"/>
          <w:numId w:val="0"/>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sz w:val="32"/>
        </w:rPr>
      </w:pPr>
      <w:r>
        <w:rPr>
          <w:rFonts w:hint="eastAsia" w:ascii="黑体" w:hAnsi="黑体" w:eastAsia="黑体" w:cs="黑体"/>
          <w:b w:val="0"/>
          <w:bCs/>
          <w:sz w:val="32"/>
        </w:rPr>
        <w:t>第三章 固定资产购建</w:t>
      </w:r>
    </w:p>
    <w:p w14:paraId="331DE52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第四条 </w:t>
      </w:r>
      <w:r>
        <w:rPr>
          <w:rFonts w:hint="eastAsia" w:ascii="仿宋_GB2312" w:eastAsia="仿宋_GB2312" w:cs="仿宋_GB2312"/>
          <w:sz w:val="32"/>
          <w:szCs w:val="32"/>
          <w:lang w:bidi="ar"/>
        </w:rPr>
        <w:t>每年10月，各部门结合生产经营需求编制部门年度工程计划报经管物资部；经管物资部结合各部门上报计划汇总编制公司年度工程计划，报公司经理办公会审议，通过后再报集团公司审议；集团审议通过后，公司各部门按该计划履行相应程序后组织实施。</w:t>
      </w:r>
    </w:p>
    <w:p w14:paraId="1CEBCF8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第五条 </w:t>
      </w:r>
      <w:bookmarkStart w:id="7" w:name="OLE_LINK6"/>
      <w:r>
        <w:rPr>
          <w:rFonts w:hint="eastAsia" w:ascii="仿宋_GB2312" w:eastAsia="仿宋_GB2312" w:cs="仿宋_GB2312"/>
          <w:sz w:val="32"/>
          <w:szCs w:val="32"/>
          <w:lang w:bidi="ar"/>
        </w:rPr>
        <w:t>购建固定资产验收合格且</w:t>
      </w:r>
      <w:r>
        <w:rPr>
          <w:rFonts w:hint="eastAsia" w:ascii="仿宋_GB2312" w:eastAsia="仿宋_GB2312" w:cs="仿宋_GB2312"/>
          <w:sz w:val="32"/>
          <w:szCs w:val="32"/>
          <w:lang w:eastAsia="zh-CN" w:bidi="ar"/>
        </w:rPr>
        <w:t>达到</w:t>
      </w:r>
      <w:r>
        <w:rPr>
          <w:rFonts w:hint="eastAsia" w:ascii="仿宋_GB2312" w:eastAsia="仿宋_GB2312" w:cs="仿宋_GB2312"/>
          <w:sz w:val="32"/>
          <w:szCs w:val="32"/>
          <w:lang w:bidi="ar"/>
        </w:rPr>
        <w:t>预定可使用状态时需转资，归属部门建固定资产台账、财务部建固定资产卡片；需</w:t>
      </w:r>
      <w:r>
        <w:rPr>
          <w:rFonts w:hint="eastAsia" w:ascii="仿宋_GB2312" w:eastAsia="仿宋_GB2312" w:cs="仿宋_GB2312"/>
          <w:sz w:val="32"/>
          <w:szCs w:val="32"/>
          <w:lang w:eastAsia="zh-CN" w:bidi="ar"/>
        </w:rPr>
        <w:t>办理</w:t>
      </w:r>
      <w:r>
        <w:rPr>
          <w:rFonts w:hint="eastAsia" w:ascii="仿宋_GB2312" w:eastAsia="仿宋_GB2312" w:cs="仿宋_GB2312"/>
          <w:sz w:val="32"/>
          <w:szCs w:val="32"/>
          <w:lang w:bidi="ar"/>
        </w:rPr>
        <w:t>产权的不动产，由综合部按规定到政府主管部门</w:t>
      </w:r>
      <w:r>
        <w:rPr>
          <w:rFonts w:hint="eastAsia" w:ascii="仿宋_GB2312" w:eastAsia="仿宋_GB2312" w:cs="仿宋_GB2312"/>
          <w:sz w:val="32"/>
          <w:szCs w:val="32"/>
          <w:lang w:eastAsia="zh-CN" w:bidi="ar"/>
        </w:rPr>
        <w:t>办理</w:t>
      </w:r>
      <w:r>
        <w:rPr>
          <w:rFonts w:hint="eastAsia" w:ascii="仿宋_GB2312" w:eastAsia="仿宋_GB2312" w:cs="仿宋_GB2312"/>
          <w:sz w:val="32"/>
          <w:szCs w:val="32"/>
          <w:lang w:bidi="ar"/>
        </w:rPr>
        <w:t>产权登记。</w:t>
      </w:r>
      <w:bookmarkEnd w:id="7"/>
      <w:r>
        <w:rPr>
          <w:rFonts w:hint="eastAsia" w:ascii="仿宋_GB2312" w:eastAsia="仿宋_GB2312" w:cs="仿宋_GB2312"/>
          <w:sz w:val="32"/>
          <w:szCs w:val="32"/>
          <w:lang w:bidi="ar"/>
        </w:rPr>
        <w:t xml:space="preserve"> </w:t>
      </w:r>
    </w:p>
    <w:p w14:paraId="1D8410EF">
      <w:pPr>
        <w:keepNext w:val="0"/>
        <w:keepLines w:val="0"/>
        <w:pageBreakBefore w:val="0"/>
        <w:numPr>
          <w:ilvl w:val="0"/>
          <w:numId w:val="0"/>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sz w:val="32"/>
        </w:rPr>
      </w:pPr>
      <w:r>
        <w:rPr>
          <w:rFonts w:hint="eastAsia" w:ascii="黑体" w:hAnsi="黑体" w:eastAsia="黑体" w:cs="黑体"/>
          <w:b w:val="0"/>
          <w:bCs/>
          <w:sz w:val="32"/>
        </w:rPr>
        <w:t>第四章 固定资产核算</w:t>
      </w:r>
    </w:p>
    <w:p w14:paraId="6E8A5379">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第六条 </w:t>
      </w:r>
      <w:r>
        <w:rPr>
          <w:rFonts w:hint="eastAsia" w:ascii="仿宋_GB2312" w:eastAsia="仿宋_GB2312" w:cs="仿宋_GB2312"/>
          <w:sz w:val="32"/>
          <w:szCs w:val="32"/>
          <w:lang w:bidi="ar"/>
        </w:rPr>
        <w:t xml:space="preserve">固定资产计价 </w:t>
      </w:r>
    </w:p>
    <w:p w14:paraId="4BB1411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（一）购置的固定资产计价包括实际支付的购买价款、运杂费、包装费、安装成本、保险费和无法抵扣的税金等，从国外购置固定资产入账价值还应包括购入过程中发生的手续费、佣金以及无法抵扣的关税等； </w:t>
      </w:r>
    </w:p>
    <w:p w14:paraId="6A1A099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（二）自制、自建的固定资产按达到预计可使用状态前发生的必要成本计价；</w:t>
      </w:r>
    </w:p>
    <w:p w14:paraId="03EF76C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（三）在原有固定资产基础上进行改建、扩建的，按原固定资产账面价值，以及改建、扩建而使该项固定资产达到预定可使用状态前发生的支出，扣减改建、扩建过程中发生的变价收入后计价； </w:t>
      </w:r>
    </w:p>
    <w:p w14:paraId="14AB456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（四）接受投资者投入的固定资产，按投资时各方确认的价值（合同、协议）或评估值及其运输费、保险费等相关费用计价； </w:t>
      </w:r>
    </w:p>
    <w:p w14:paraId="0991FC8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（五）盘盈的固定资产，按同类固定资产的重置价进行计价； </w:t>
      </w:r>
    </w:p>
    <w:p w14:paraId="4091696F">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（六）经批准无偿调入的固定资产，按调出单位的账面价值及其实际发生的运杂费、安装费等相关费用计价； </w:t>
      </w:r>
    </w:p>
    <w:p w14:paraId="2586AF7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（七）其他形成的固定资产按《企业会计准则第4</w:t>
      </w:r>
      <w:r>
        <w:rPr>
          <w:rFonts w:hint="eastAsia" w:ascii="仿宋_GB2312" w:eastAsia="仿宋_GB2312" w:cs="仿宋_GB2312"/>
          <w:sz w:val="32"/>
          <w:szCs w:val="32"/>
          <w:lang w:bidi="ar"/>
        </w:rPr>
        <w:t>号—</w:t>
      </w:r>
      <w:r>
        <w:rPr>
          <w:rFonts w:hint="eastAsia" w:ascii="仿宋_GB2312" w:eastAsia="仿宋_GB2312" w:cs="仿宋_GB2312"/>
          <w:sz w:val="32"/>
          <w:szCs w:val="32"/>
          <w:lang w:bidi="ar"/>
        </w:rPr>
        <w:t xml:space="preserve">固定资产》相关规定计价。 </w:t>
      </w:r>
    </w:p>
    <w:p w14:paraId="3B06A13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第七条 </w:t>
      </w:r>
      <w:r>
        <w:rPr>
          <w:rFonts w:hint="eastAsia" w:ascii="仿宋_GB2312" w:eastAsia="仿宋_GB2312" w:cs="仿宋_GB2312"/>
          <w:sz w:val="32"/>
          <w:szCs w:val="32"/>
          <w:lang w:bidi="ar"/>
        </w:rPr>
        <w:t xml:space="preserve">固定资产折旧 </w:t>
      </w:r>
    </w:p>
    <w:p w14:paraId="086419F9">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（一）固定资产计提折旧执行年限平均法，按月计提折旧，折旧年限按集团公司当期财务核算政策执行； </w:t>
      </w:r>
    </w:p>
    <w:p w14:paraId="03450827">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（二）按照国家有关规定提取专项资金购置或建造的固定资产，按《企业会计准则》等规定核算。 </w:t>
      </w:r>
    </w:p>
    <w:p w14:paraId="0A567778">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第八条 </w:t>
      </w:r>
      <w:r>
        <w:rPr>
          <w:rFonts w:hint="eastAsia" w:ascii="仿宋_GB2312" w:eastAsia="仿宋_GB2312" w:cs="仿宋_GB2312"/>
          <w:sz w:val="32"/>
          <w:szCs w:val="32"/>
          <w:lang w:bidi="ar"/>
        </w:rPr>
        <w:t xml:space="preserve">固定资产减值准备 </w:t>
      </w:r>
    </w:p>
    <w:p w14:paraId="3231EC0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（一）每年年末，对固定资产逐项进行检查，固定资产可收回价值低于其账面价值的，应当计提减值准备，确认资产减值损失； </w:t>
      </w:r>
    </w:p>
    <w:p w14:paraId="403859D8">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（二）固定资产减值测试标准及减值核算等，按《企业会计准则第8</w:t>
      </w:r>
      <w:r>
        <w:rPr>
          <w:rFonts w:hint="eastAsia" w:ascii="仿宋_GB2312" w:eastAsia="仿宋_GB2312" w:cs="仿宋_GB2312"/>
          <w:sz w:val="32"/>
          <w:szCs w:val="32"/>
          <w:lang w:bidi="ar"/>
        </w:rPr>
        <w:t>号—</w:t>
      </w:r>
      <w:r>
        <w:rPr>
          <w:rFonts w:hint="eastAsia" w:ascii="仿宋_GB2312" w:eastAsia="仿宋_GB2312" w:cs="仿宋_GB2312"/>
          <w:sz w:val="32"/>
          <w:szCs w:val="32"/>
          <w:lang w:bidi="ar"/>
        </w:rPr>
        <w:t xml:space="preserve">资产减值》规定执行。 </w:t>
      </w:r>
    </w:p>
    <w:p w14:paraId="4CDB7C7C">
      <w:pPr>
        <w:keepNext w:val="0"/>
        <w:keepLines w:val="0"/>
        <w:pageBreakBefore w:val="0"/>
        <w:numPr>
          <w:ilvl w:val="0"/>
          <w:numId w:val="0"/>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sz w:val="32"/>
        </w:rPr>
      </w:pPr>
      <w:r>
        <w:rPr>
          <w:rFonts w:hint="eastAsia" w:ascii="黑体" w:hAnsi="黑体" w:eastAsia="黑体" w:cs="黑体"/>
          <w:b w:val="0"/>
          <w:bCs/>
          <w:sz w:val="32"/>
        </w:rPr>
        <w:t>第五章 固定资产运营</w:t>
      </w:r>
    </w:p>
    <w:p w14:paraId="1B438E7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第九条 </w:t>
      </w:r>
      <w:r>
        <w:rPr>
          <w:rFonts w:hint="eastAsia" w:ascii="仿宋_GB2312" w:eastAsia="仿宋_GB2312" w:cs="仿宋_GB2312"/>
          <w:sz w:val="32"/>
          <w:szCs w:val="32"/>
          <w:lang w:bidi="ar"/>
        </w:rPr>
        <w:t>按照“</w:t>
      </w:r>
      <w:r>
        <w:rPr>
          <w:rFonts w:hint="eastAsia" w:ascii="仿宋_GB2312" w:eastAsia="仿宋_GB2312" w:cs="仿宋_GB2312"/>
          <w:sz w:val="32"/>
          <w:szCs w:val="32"/>
          <w:lang w:bidi="ar"/>
        </w:rPr>
        <w:t>谁管理，谁负责”</w:t>
      </w:r>
      <w:r>
        <w:rPr>
          <w:rFonts w:hint="eastAsia" w:ascii="仿宋_GB2312" w:eastAsia="仿宋_GB2312" w:cs="仿宋_GB2312"/>
          <w:sz w:val="32"/>
          <w:szCs w:val="32"/>
          <w:lang w:bidi="ar"/>
        </w:rPr>
        <w:t xml:space="preserve">的原则，管理部门应建立健全固定资产管理台账，记录固定资产类别、价值、使用、维修、报废等情况，及时掌握固定资产状况、增减变动等信息。 </w:t>
      </w:r>
    </w:p>
    <w:p w14:paraId="09BC6663">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第十条 </w:t>
      </w:r>
      <w:r>
        <w:rPr>
          <w:rFonts w:hint="eastAsia" w:ascii="仿宋_GB2312" w:eastAsia="仿宋_GB2312" w:cs="仿宋_GB2312"/>
          <w:sz w:val="32"/>
          <w:szCs w:val="32"/>
          <w:lang w:bidi="ar"/>
        </w:rPr>
        <w:t xml:space="preserve">固定资产清查 </w:t>
      </w:r>
    </w:p>
    <w:p w14:paraId="1BB09592">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（一）财务部每年至少组织一次固定资产清查盘点工作，查清固定资产数量和固定资产状况，保证固定资产账、卡、物相符； </w:t>
      </w:r>
    </w:p>
    <w:p w14:paraId="6066BEF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（二）固定资产清查中发生盘盈、盘亏时，应查明原因，形成处理意见，报公司办公会审议。盘盈按经理办公会意见进行处理；盘亏按《皖北煤电集团公司资产损失财务核销工作规则》执行。 </w:t>
      </w:r>
    </w:p>
    <w:p w14:paraId="60B88A54">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第十一条</w:t>
      </w:r>
      <w:r>
        <w:rPr>
          <w:rFonts w:hint="eastAsia" w:ascii="仿宋_GB2312" w:eastAsia="仿宋_GB2312" w:cs="仿宋_GB2312"/>
          <w:sz w:val="32"/>
          <w:szCs w:val="32"/>
          <w:lang w:val="en-US" w:eastAsia="zh-CN" w:bidi="ar"/>
        </w:rPr>
        <w:t xml:space="preserve"> </w:t>
      </w:r>
      <w:r>
        <w:rPr>
          <w:rFonts w:hint="eastAsia" w:ascii="仿宋_GB2312" w:eastAsia="仿宋_GB2312" w:cs="仿宋_GB2312"/>
          <w:sz w:val="32"/>
          <w:szCs w:val="32"/>
          <w:lang w:bidi="ar"/>
        </w:rPr>
        <w:t>闲置固定资产管理</w:t>
      </w:r>
    </w:p>
    <w:p w14:paraId="229FA3BD">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（一）除备用、维修、改装、特种储备、抢险救灾必备外，固定资产超过 6 </w:t>
      </w:r>
      <w:r>
        <w:rPr>
          <w:rFonts w:hint="eastAsia" w:ascii="仿宋_GB2312" w:eastAsia="仿宋_GB2312" w:cs="仿宋_GB2312"/>
          <w:sz w:val="32"/>
          <w:szCs w:val="32"/>
          <w:lang w:bidi="ar"/>
        </w:rPr>
        <w:t xml:space="preserve">个月未使用的视为闲置； </w:t>
      </w:r>
    </w:p>
    <w:p w14:paraId="615960B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（二）管理部门应建立闲置固定资产清单，制订盘活利用或处置方案，按决策权限履行相应的审批程序后实施；  </w:t>
      </w:r>
    </w:p>
    <w:p w14:paraId="3CE09BF5">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（三）无法盘活利用的闲置固定资产，通过市场化方式处置变现。 </w:t>
      </w:r>
    </w:p>
    <w:p w14:paraId="0FCBDE6C">
      <w:pPr>
        <w:keepNext w:val="0"/>
        <w:keepLines w:val="0"/>
        <w:pageBreakBefore w:val="0"/>
        <w:numPr>
          <w:ilvl w:val="0"/>
          <w:numId w:val="0"/>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sz w:val="32"/>
        </w:rPr>
      </w:pPr>
      <w:r>
        <w:rPr>
          <w:rFonts w:hint="eastAsia" w:ascii="黑体" w:hAnsi="黑体" w:eastAsia="黑体" w:cs="黑体"/>
          <w:b w:val="0"/>
          <w:bCs/>
          <w:sz w:val="32"/>
        </w:rPr>
        <w:t>第六章 固定资产报废</w:t>
      </w:r>
    </w:p>
    <w:p w14:paraId="1B20959A">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第十二条 </w:t>
      </w:r>
      <w:r>
        <w:rPr>
          <w:rFonts w:hint="eastAsia" w:ascii="仿宋_GB2312" w:eastAsia="仿宋_GB2312" w:cs="仿宋_GB2312"/>
          <w:sz w:val="32"/>
          <w:szCs w:val="32"/>
          <w:lang w:bidi="ar"/>
        </w:rPr>
        <w:t>固定资产报废，应遵循“</w:t>
      </w:r>
      <w:r>
        <w:rPr>
          <w:rFonts w:hint="eastAsia" w:ascii="仿宋_GB2312" w:eastAsia="仿宋_GB2312" w:cs="仿宋_GB2312"/>
          <w:sz w:val="32"/>
          <w:szCs w:val="32"/>
          <w:lang w:bidi="ar"/>
        </w:rPr>
        <w:t>逐项鉴定、分级审批、最大利用、最小损失、集中处理”</w:t>
      </w:r>
      <w:r>
        <w:rPr>
          <w:rFonts w:hint="eastAsia" w:ascii="仿宋_GB2312" w:eastAsia="仿宋_GB2312" w:cs="仿宋_GB2312"/>
          <w:sz w:val="32"/>
          <w:szCs w:val="32"/>
          <w:lang w:bidi="ar"/>
        </w:rPr>
        <w:t xml:space="preserve">的原则。符合下列条件之一的，可申请报废。 </w:t>
      </w:r>
    </w:p>
    <w:p w14:paraId="4C17E98B">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（一）折旧年限和已计提折旧均达到规定要求，无继续使用价值的； </w:t>
      </w:r>
    </w:p>
    <w:p w14:paraId="4C6766F7">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（二）国家和地方政府、行业政策强制淘汰的； </w:t>
      </w:r>
    </w:p>
    <w:p w14:paraId="35E5FA08">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（三）属技术淘汰且不适于继续使用，或耗能高、效率低， </w:t>
      </w:r>
    </w:p>
    <w:p w14:paraId="52B5D8C0">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产品质量技术指标已达不到使用要求的； </w:t>
      </w:r>
    </w:p>
    <w:p w14:paraId="25492168">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（四）因自然灾害等原因，已严重损毁且无修复使用价值的； </w:t>
      </w:r>
    </w:p>
    <w:p w14:paraId="01935C97">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（五）主要结构陈旧，破损严重，经大修亦不能恢复其功能或已无修复使用价值的； </w:t>
      </w:r>
    </w:p>
    <w:p w14:paraId="0D53BD1D">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（六）确因改扩建或安全生产需要拆除的，且拆除后又无修复使用价值的； </w:t>
      </w:r>
    </w:p>
    <w:p w14:paraId="608AB41C">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（七）房屋建筑物年久失修，损坏严重，有倒塌危险的，或由于政府或企业规划要求阻碍交通等原因</w:t>
      </w:r>
      <w:r>
        <w:rPr>
          <w:rFonts w:hint="eastAsia" w:ascii="仿宋_GB2312" w:eastAsia="仿宋_GB2312" w:cs="仿宋_GB2312"/>
          <w:sz w:val="32"/>
          <w:szCs w:val="32"/>
          <w:lang w:eastAsia="zh-CN" w:bidi="ar"/>
        </w:rPr>
        <w:t>需</w:t>
      </w:r>
      <w:r>
        <w:rPr>
          <w:rFonts w:hint="eastAsia" w:ascii="仿宋_GB2312" w:eastAsia="仿宋_GB2312" w:cs="仿宋_GB2312"/>
          <w:sz w:val="32"/>
          <w:szCs w:val="32"/>
          <w:lang w:bidi="ar"/>
        </w:rPr>
        <w:t xml:space="preserve">拆除的。 </w:t>
      </w:r>
    </w:p>
    <w:p w14:paraId="442C92D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 xml:space="preserve">第十三条 </w:t>
      </w:r>
      <w:r>
        <w:rPr>
          <w:rFonts w:hint="eastAsia" w:ascii="仿宋_GB2312" w:eastAsia="仿宋_GB2312" w:cs="仿宋_GB2312"/>
          <w:sz w:val="32"/>
          <w:szCs w:val="32"/>
          <w:lang w:bidi="ar"/>
        </w:rPr>
        <w:t>固定资产报废处置程序。</w:t>
      </w:r>
    </w:p>
    <w:p w14:paraId="7D0928A6">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根据集团公司相关文件规定，公司成立固定资产报废处置领导小组，负责公司固定资产报废鉴定、上报及处置工作。对于特殊固定资产可聘请外部专家参与固定资产鉴定工作。鉴定完成确认报废的固定资产，由管理部门编制固定资产报废申请报告上会审议，审议通过后，统一由经管物资部上报集团公司，集团公司审议通过后，经管物资部按照集团公司相关规定对报废的固定资产进行处置。</w:t>
      </w:r>
    </w:p>
    <w:p w14:paraId="63696881">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第十四条 本办法由公司财务部负责解释。</w:t>
      </w:r>
    </w:p>
    <w:p w14:paraId="5DDB14F9">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仿宋_GB2312" w:eastAsia="仿宋_GB2312" w:cs="仿宋_GB2312"/>
          <w:sz w:val="32"/>
          <w:szCs w:val="32"/>
          <w:lang w:bidi="ar"/>
        </w:rPr>
      </w:pPr>
      <w:r>
        <w:rPr>
          <w:rFonts w:hint="eastAsia" w:ascii="仿宋_GB2312" w:eastAsia="仿宋_GB2312" w:cs="仿宋_GB2312"/>
          <w:sz w:val="32"/>
          <w:szCs w:val="32"/>
          <w:lang w:bidi="ar"/>
        </w:rPr>
        <w:t>第十五条 该办法自印发之日起施行。《固定资产管理办法》西北能化财﹝2023﹞26号同时废止。</w:t>
      </w:r>
    </w:p>
    <w:p w14:paraId="38C074D1">
      <w:pPr>
        <w:spacing w:line="520" w:lineRule="exact"/>
        <w:ind w:firstLine="6425" w:firstLineChars="2000"/>
        <w:rPr>
          <w:rFonts w:hint="eastAsia" w:ascii="黑体" w:hAnsi="黑体" w:eastAsia="黑体" w:cs="黑体"/>
          <w:b/>
          <w:bCs/>
          <w:sz w:val="32"/>
          <w:szCs w:val="32"/>
        </w:rPr>
      </w:pPr>
    </w:p>
    <w:p w14:paraId="4A4E4008">
      <w:pPr>
        <w:spacing w:line="520" w:lineRule="exact"/>
        <w:rPr>
          <w:rFonts w:hint="eastAsia" w:ascii="黑体" w:hAnsi="黑体" w:eastAsia="黑体" w:cs="黑体"/>
          <w:b/>
          <w:bCs/>
          <w:sz w:val="32"/>
          <w:szCs w:val="32"/>
        </w:rPr>
      </w:pPr>
    </w:p>
    <w:p w14:paraId="6C56FC96">
      <w:pPr>
        <w:pStyle w:val="2"/>
        <w:spacing w:line="520" w:lineRule="exact"/>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附件9</w:t>
      </w:r>
    </w:p>
    <w:p w14:paraId="501E5AA2">
      <w:pPr>
        <w:pStyle w:val="2"/>
        <w:spacing w:line="520" w:lineRule="exact"/>
        <w:jc w:val="center"/>
        <w:rPr>
          <w:rFonts w:hint="eastAsia" w:ascii="方正小标宋简体" w:hAnsi="方正小标宋简体" w:eastAsia="方正小标宋简体" w:cs="方正小标宋简体"/>
          <w:b w:val="0"/>
          <w:bCs/>
        </w:rPr>
      </w:pPr>
      <w:r>
        <w:rPr>
          <w:rFonts w:hint="eastAsia" w:ascii="方正小标宋简体" w:hAnsi="方正小标宋简体" w:eastAsia="方正小标宋简体" w:cs="方正小标宋简体"/>
          <w:b w:val="0"/>
          <w:bCs/>
        </w:rPr>
        <w:t>2026年工程管理办法</w:t>
      </w:r>
    </w:p>
    <w:p w14:paraId="3787CD26">
      <w:pPr>
        <w:spacing w:line="520" w:lineRule="exact"/>
        <w:jc w:val="center"/>
        <w:rPr>
          <w:rFonts w:ascii="Arial" w:hAnsi="Arial" w:eastAsia="黑体"/>
          <w:bCs/>
          <w:sz w:val="32"/>
        </w:rPr>
      </w:pPr>
    </w:p>
    <w:p w14:paraId="7CBA0AEF">
      <w:pPr>
        <w:keepNext w:val="0"/>
        <w:keepLines w:val="0"/>
        <w:pageBreakBefore w:val="0"/>
        <w:kinsoku/>
        <w:wordWrap/>
        <w:overflowPunct/>
        <w:topLinePunct w:val="0"/>
        <w:autoSpaceDE/>
        <w:autoSpaceDN/>
        <w:bidi w:val="0"/>
        <w:spacing w:line="520" w:lineRule="exact"/>
        <w:jc w:val="center"/>
        <w:rPr>
          <w:rFonts w:hint="eastAsia" w:ascii="仿宋_GB2312" w:hAnsi="宋体" w:eastAsia="仿宋_GB2312" w:cs="仿宋_GB2312"/>
          <w:b w:val="0"/>
          <w:bCs/>
          <w:sz w:val="32"/>
          <w:szCs w:val="32"/>
        </w:rPr>
      </w:pPr>
      <w:r>
        <w:rPr>
          <w:rFonts w:hint="eastAsia" w:ascii="Arial" w:hAnsi="Arial" w:eastAsia="黑体"/>
          <w:b w:val="0"/>
          <w:bCs/>
          <w:sz w:val="32"/>
        </w:rPr>
        <w:t>第一章 总则</w:t>
      </w:r>
    </w:p>
    <w:p w14:paraId="04985E6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第一条 </w:t>
      </w:r>
      <w:r>
        <w:rPr>
          <w:rFonts w:hint="eastAsia" w:ascii="仿宋_GB2312" w:hAnsi="宋体" w:eastAsia="仿宋_GB2312" w:cs="仿宋_GB2312"/>
          <w:bCs/>
          <w:sz w:val="32"/>
          <w:szCs w:val="32"/>
          <w:lang w:val="en-US" w:eastAsia="zh-CN"/>
        </w:rPr>
        <w:t>为加强西北能化公司工程管理，规范管理流程，明确管理责任，提高工程管理水平，控制工程造价、保障工程质量、防范经营风险，依据《中华人民共和国建筑法》等有关法律法规及《皖北煤电集团公司工程项目管理办法》（皖北煤电规划〔2025〕59号），结合公司实际，特制定本办法。</w:t>
      </w:r>
    </w:p>
    <w:p w14:paraId="63FB6B0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第二条 </w:t>
      </w:r>
      <w:r>
        <w:rPr>
          <w:rFonts w:hint="eastAsia" w:ascii="仿宋_GB2312" w:hAnsi="宋体" w:eastAsia="仿宋_GB2312" w:cs="仿宋_GB2312"/>
          <w:bCs/>
          <w:sz w:val="32"/>
          <w:szCs w:val="32"/>
          <w:lang w:val="en-US" w:eastAsia="zh-CN"/>
        </w:rPr>
        <w:t>工程项目管理主要涵盖工程项目立项、计划、设计、合同、开工、监理管理、质量控制、安全控制、进度控制、竣工验收、造价管理、工程款支付、档案管理、检查考核等过程。</w:t>
      </w:r>
    </w:p>
    <w:p w14:paraId="1B3829C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第三条</w:t>
      </w:r>
      <w:r>
        <w:rPr>
          <w:rFonts w:hint="eastAsia" w:ascii="仿宋_GB2312" w:hAnsi="宋体" w:eastAsia="仿宋_GB2312" w:cs="仿宋_GB2312"/>
          <w:bCs/>
          <w:sz w:val="32"/>
          <w:szCs w:val="32"/>
          <w:lang w:val="en-US" w:eastAsia="zh-CN"/>
        </w:rPr>
        <w:t xml:space="preserve"> 本办法适用于本公司建筑物构筑物新建、改扩建（含安全、技改、环保等）的建筑工程，设备安装工程，设备管道清洗清理，脱硫塔等构筑物设施的防腐保温、建筑物维修、脚手架搭设，锅炉喷涂浇注料等零星维修工程及自营工程。</w:t>
      </w:r>
    </w:p>
    <w:p w14:paraId="6027B30E">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第二章 组织机构</w:t>
      </w:r>
    </w:p>
    <w:p w14:paraId="41FDCA8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第四条</w:t>
      </w:r>
      <w:r>
        <w:rPr>
          <w:rFonts w:hint="eastAsia" w:ascii="仿宋_GB2312" w:hAnsi="宋体" w:eastAsia="仿宋_GB2312" w:cs="仿宋_GB2312"/>
          <w:bCs/>
          <w:sz w:val="32"/>
          <w:szCs w:val="32"/>
          <w:lang w:val="en-US" w:eastAsia="zh-CN"/>
        </w:rPr>
        <w:t xml:space="preserve"> 西北能化公司工程项目管理领导小组（以下简称“领导小组”）由董事长（党委书记）、总经理任组长，分管各专业工程项目副总经理任副组长，各专业副总及相关部门负责人为成员。主要职责包括：</w:t>
      </w:r>
    </w:p>
    <w:p w14:paraId="3EA4A8E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（一）领导和协调工程项目管理工作，组织拟定公司工程项目管理有关制度；</w:t>
      </w:r>
    </w:p>
    <w:p w14:paraId="420A453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（二）协调工程项目立项、计划、设计、合同、造价、验收等过程管理中的重大事项；</w:t>
      </w:r>
    </w:p>
    <w:p w14:paraId="415B396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（三）定期召开重点项目调度会议，协调解决建设过程中存在的问题，督促项目建设；</w:t>
      </w:r>
    </w:p>
    <w:p w14:paraId="12720E3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（四）组织工程项目管理专项检查，对工程项目的实施情况进行考核；</w:t>
      </w:r>
    </w:p>
    <w:p w14:paraId="4BD52BE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（五）组织对 EPC 总承包工程（交钥匙工程）等概算进行审查。</w:t>
      </w:r>
    </w:p>
    <w:p w14:paraId="4C64CF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工程办是工程管理业务主管部门，在分管工程业务负责人的领导下组织开展工程项目管理相关工作。</w:t>
      </w:r>
    </w:p>
    <w:p w14:paraId="28D67E5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第五条 职责分工</w:t>
      </w:r>
    </w:p>
    <w:p w14:paraId="670568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（一）工程办</w:t>
      </w:r>
    </w:p>
    <w:p w14:paraId="12F3378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1.负责修订和完善公司工程项目管理制度；</w:t>
      </w:r>
    </w:p>
    <w:p w14:paraId="2F6068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2.负责土建、安装类、设备类（ 除办公设备）工程项目申报计划的审核；</w:t>
      </w:r>
    </w:p>
    <w:p w14:paraId="0626986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3.上报年度工程建设计划、年度工程实施计划及工程调整计划；</w:t>
      </w:r>
    </w:p>
    <w:p w14:paraId="65E09CD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4.组织对土建、安装类工程的工程量清单及控制价进行审查；</w:t>
      </w:r>
    </w:p>
    <w:p w14:paraId="37B420E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5.监督工程项目的日常管理，包括立项、设计、施工等环节的协调与监督，负责组织工程项目专项检查及竣工验收；</w:t>
      </w:r>
    </w:p>
    <w:p w14:paraId="0E4BEBB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6.负责竣工结算初审、工程款支付；</w:t>
      </w:r>
    </w:p>
    <w:p w14:paraId="6F32EF8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7.填报工程计划月度完成情况，编制上年度工程计划完成情况报告；</w:t>
      </w:r>
    </w:p>
    <w:p w14:paraId="198B0C3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8.协调解决工程项目实施过程中存在的问题，对工程项目的实施情况进行考核；</w:t>
      </w:r>
    </w:p>
    <w:p w14:paraId="366809C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9.根据公司需要，上报集团公司选定的工程造价咨询第三方机构进行工程量清单及控制价编审并接收成果性文件等业务；</w:t>
      </w:r>
    </w:p>
    <w:p w14:paraId="36B6DD9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（二）综合部</w:t>
      </w:r>
    </w:p>
    <w:p w14:paraId="4B709C1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1.负责办公设备、车辆购置等项目计划的初审和立项；</w:t>
      </w:r>
    </w:p>
    <w:p w14:paraId="7D1444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2.负责督促项目实施单位对施工档案整理、搜集、归档；</w:t>
      </w:r>
    </w:p>
    <w:p w14:paraId="5D6A3C6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（三）生产技术部</w:t>
      </w:r>
    </w:p>
    <w:p w14:paraId="0220CDF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1.负责生产类项目工程项目计划的初审和立项。</w:t>
      </w:r>
    </w:p>
    <w:p w14:paraId="25036A0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2.负责生产类项目的设计审查及实施过程中的日常</w:t>
      </w:r>
      <w:r>
        <w:rPr>
          <w:rFonts w:hint="eastAsia" w:ascii="仿宋_GB2312" w:hAnsi="宋体" w:eastAsia="仿宋_GB2312" w:cs="仿宋_GB2312"/>
          <w:bCs/>
          <w:sz w:val="32"/>
          <w:szCs w:val="32"/>
          <w:lang w:val="en-US" w:eastAsia="zh-CN"/>
        </w:rPr>
        <w:t>监督管理；</w:t>
      </w:r>
    </w:p>
    <w:p w14:paraId="45901A1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3.负责分管范围内工程项目实施的工程进度、造价、安全、质量管理及竣工验收等。</w:t>
      </w:r>
    </w:p>
    <w:p w14:paraId="1622367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（四）设备管理部</w:t>
      </w:r>
    </w:p>
    <w:p w14:paraId="5D92740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1.负责设备类项目工程项目计划的初审和立项。</w:t>
      </w:r>
    </w:p>
    <w:p w14:paraId="01A5DB5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2.负责设备类项目的设计审查及实施过程中的日常</w:t>
      </w:r>
      <w:r>
        <w:rPr>
          <w:rFonts w:hint="eastAsia" w:ascii="仿宋_GB2312" w:hAnsi="宋体" w:eastAsia="仿宋_GB2312" w:cs="仿宋_GB2312"/>
          <w:bCs/>
          <w:sz w:val="32"/>
          <w:szCs w:val="32"/>
          <w:lang w:val="en-US" w:eastAsia="zh-CN"/>
        </w:rPr>
        <w:t>监督管理；</w:t>
      </w:r>
    </w:p>
    <w:p w14:paraId="5C3622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3.负责分管范围内工程项目实施的工程进度、造价、安全、质量管理及竣工验收等。</w:t>
      </w:r>
    </w:p>
    <w:p w14:paraId="1F7CAB4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（五）安全监管部</w:t>
      </w:r>
    </w:p>
    <w:p w14:paraId="27B7396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1.负责安全、培训、消防类工程项目计划的初审和立项；</w:t>
      </w:r>
    </w:p>
    <w:p w14:paraId="78ABBD7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2.负责安全、培训、消防类工程项目方案设计审查、日常监督管理；</w:t>
      </w:r>
    </w:p>
    <w:p w14:paraId="60BA8CA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3.负责工程项目安全设施设计审查及实施过程中的安全、质量、文明施工的监督、检查；</w:t>
      </w:r>
    </w:p>
    <w:p w14:paraId="4105C17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4.参与竣工验收。</w:t>
      </w:r>
    </w:p>
    <w:p w14:paraId="774E3A8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（六）销售采购部</w:t>
      </w:r>
    </w:p>
    <w:p w14:paraId="5008346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1.负责销售类工程项目计划的初审和立项；           </w:t>
      </w:r>
    </w:p>
    <w:p w14:paraId="21E8702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2.负责销售类工程项目方案设计审查、物资、设备购置方案审查的日常监督管理；</w:t>
      </w:r>
    </w:p>
    <w:p w14:paraId="2F0C194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3.负责分管范围内工程项目实施的工程进度、造价、安全、质量管理及竣工验收等；</w:t>
      </w:r>
    </w:p>
    <w:p w14:paraId="4B22739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4.负责工程项目甲购物资、设备类的进场验收。</w:t>
      </w:r>
    </w:p>
    <w:p w14:paraId="67D5E25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（七）纪委办公室</w:t>
      </w:r>
    </w:p>
    <w:p w14:paraId="1E7DB3C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1.负责工程管理过程中出现的各类违规违纪问题的举报、调查。</w:t>
      </w:r>
    </w:p>
    <w:p w14:paraId="26E8F1C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（八）财务部</w:t>
      </w:r>
    </w:p>
    <w:p w14:paraId="2E10A33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1.负责工程项目的资金拨付与年度工程预算资金总额控制；</w:t>
      </w:r>
    </w:p>
    <w:p w14:paraId="4E8EC1F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2.参与竣工验收。</w:t>
      </w:r>
    </w:p>
    <w:p w14:paraId="7093CC6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（九）人力资源部（党群部）</w:t>
      </w:r>
    </w:p>
    <w:p w14:paraId="45F0D24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1.负责自营工程工资拨付。</w:t>
      </w:r>
    </w:p>
    <w:p w14:paraId="14403622">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第三章 工程计划管理</w:t>
      </w:r>
    </w:p>
    <w:p w14:paraId="6EC97DC3">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第一节 立项管理</w:t>
      </w:r>
    </w:p>
    <w:p w14:paraId="4D085F0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第六条</w:t>
      </w:r>
      <w:r>
        <w:rPr>
          <w:rFonts w:hint="eastAsia" w:ascii="仿宋_GB2312" w:hAnsi="宋体" w:eastAsia="仿宋_GB2312" w:cs="仿宋_GB2312"/>
          <w:bCs/>
          <w:sz w:val="32"/>
          <w:szCs w:val="32"/>
          <w:lang w:val="en-US" w:eastAsia="zh-CN"/>
        </w:rPr>
        <w:t xml:space="preserve"> 工程项目立项应遵循“必要性、可行性、经济性”原则，常态化开展工程项目立项入库工作。</w:t>
      </w:r>
    </w:p>
    <w:p w14:paraId="45DA3E5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第七条</w:t>
      </w:r>
      <w:r>
        <w:rPr>
          <w:rFonts w:hint="eastAsia" w:ascii="仿宋_GB2312" w:hAnsi="宋体" w:eastAsia="仿宋_GB2312" w:cs="仿宋_GB2312"/>
          <w:bCs/>
          <w:sz w:val="32"/>
          <w:szCs w:val="32"/>
          <w:lang w:val="en-US" w:eastAsia="zh-CN"/>
        </w:rPr>
        <w:t xml:space="preserve"> 项目实施单位根据安全生产需求，在全年度范围内均可开展下一年度拟建工程项目立项入库工作。项目立项后进入工程项目管理系统项目库，作为编制年度工程建议计划的依据。</w:t>
      </w:r>
    </w:p>
    <w:p w14:paraId="5132B66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第八条</w:t>
      </w:r>
      <w:r>
        <w:rPr>
          <w:rFonts w:hint="eastAsia" w:ascii="仿宋_GB2312" w:hAnsi="宋体" w:eastAsia="仿宋_GB2312" w:cs="仿宋_GB2312"/>
          <w:bCs/>
          <w:sz w:val="32"/>
          <w:szCs w:val="32"/>
          <w:lang w:val="en-US" w:eastAsia="zh-CN"/>
        </w:rPr>
        <w:t xml:space="preserve"> 项目实施单位于每年 11 月 1 日前完成下年度拟建工程项目立项入库工作。</w:t>
      </w:r>
    </w:p>
    <w:p w14:paraId="609A9C27">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第二节 计划申报</w:t>
      </w:r>
    </w:p>
    <w:p w14:paraId="085EF5D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第九条 工程项目建议计划的编制</w:t>
      </w:r>
    </w:p>
    <w:p w14:paraId="627DC10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项目实施单位必须合理地写明项目实施原因，项目实施的必要性，准确计算工程量及工作量，单项投资超 50万的工程需编写预算或可行性研究报告。</w:t>
      </w:r>
    </w:p>
    <w:p w14:paraId="148A32C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第十条</w:t>
      </w:r>
      <w:r>
        <w:rPr>
          <w:rFonts w:hint="eastAsia" w:ascii="仿宋_GB2312" w:hAnsi="宋体" w:eastAsia="仿宋_GB2312" w:cs="仿宋_GB2312"/>
          <w:bCs/>
          <w:sz w:val="32"/>
          <w:szCs w:val="32"/>
          <w:lang w:val="en-US" w:eastAsia="zh-CN"/>
        </w:rPr>
        <w:t xml:space="preserve"> 项目实施单位拟报工程项目按照投资金额大小，履行分级审批程序：</w:t>
      </w:r>
    </w:p>
    <w:p w14:paraId="533D4CF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（一）单项工程投资在1000万元以上工程项目，由公司董事会审议决定，且需前置公司党委会研究讨论；</w:t>
      </w:r>
    </w:p>
    <w:p w14:paraId="32F1C72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（二）单项工程投资在1000万元以下500万元以上的工程项目，由公司总经理办公会审议决定，且需前置公司党委会研究讨论；</w:t>
      </w:r>
    </w:p>
    <w:p w14:paraId="0494DCE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（三）单项工程投资在500万元以下300万元以上工程项目，经分管领导审核后，由公司总经理办公会审议决定；</w:t>
      </w:r>
    </w:p>
    <w:p w14:paraId="26500C0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（四）单项工程投资在300万元以下100万元以上工程项目，由公司相关专业部室审查后，由公司总经理组织相关领导审议决定；</w:t>
      </w:r>
    </w:p>
    <w:p w14:paraId="09313B2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（五）单项工程投资在100万元以下50万元以上工程项目，由公司相关专业部室审查后，由公司分管领导审批；</w:t>
      </w:r>
    </w:p>
    <w:p w14:paraId="6131CC6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（六）单项工程投资在50万元以下工程项目，部门审核后，由公司分管领导审批。</w:t>
      </w:r>
    </w:p>
    <w:p w14:paraId="03C973D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第十一条</w:t>
      </w:r>
      <w:r>
        <w:rPr>
          <w:rFonts w:hint="eastAsia" w:ascii="仿宋_GB2312" w:hAnsi="宋体" w:eastAsia="仿宋_GB2312" w:cs="仿宋_GB2312"/>
          <w:bCs/>
          <w:sz w:val="32"/>
          <w:szCs w:val="32"/>
          <w:lang w:val="en-US" w:eastAsia="zh-CN"/>
        </w:rPr>
        <w:t xml:space="preserve"> 工程计划实施</w:t>
      </w:r>
    </w:p>
    <w:p w14:paraId="28DBB87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年度工程计划经集团公司规划发展部下达后 10 日内，项目实施单位负责明确工作目标、关键节点、责任人等，编制实施计划，报工程办审核，并经公司内部决策后，在工程项目管理系统内填报。项目实施单位应科学合理地设置关键节点目标任务，严格组织落实。严禁计划外工程，未列入计划的工程项目不得实施。</w:t>
      </w:r>
    </w:p>
    <w:p w14:paraId="4C611BA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第十二条 </w:t>
      </w:r>
      <w:r>
        <w:rPr>
          <w:rFonts w:hint="eastAsia" w:ascii="仿宋_GB2312" w:hAnsi="宋体" w:eastAsia="仿宋_GB2312" w:cs="仿宋_GB2312"/>
          <w:bCs/>
          <w:sz w:val="32"/>
          <w:szCs w:val="32"/>
          <w:lang w:val="en-US" w:eastAsia="zh-CN"/>
        </w:rPr>
        <w:t>工程计划调整</w:t>
      </w:r>
    </w:p>
    <w:p w14:paraId="0BD54A7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（一）工程计划调剂</w:t>
      </w:r>
    </w:p>
    <w:p w14:paraId="5CEFA13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工程办在年度计划指标内根据实际需要，可对未实施的工程计划项目、资金结余的项目进行动态调整，履行公司内部决策程序后从工程项目管理系统内申报。</w:t>
      </w:r>
    </w:p>
    <w:p w14:paraId="7CC131E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1.单项工程投资 50 万元以下的工程项目， 由集团公司业务主管部门组织审查，出具审查意见，由集团公司规划发展部列入工程计划并办理批复；</w:t>
      </w:r>
    </w:p>
    <w:p w14:paraId="2B01F04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2.单项工程投资 50 万元以上 200 万元以下的工程项目，由集团公司专业副总师组织相关部门审查，由集团公司总经理召集会议审议后，由集团公司规划发展部列入工程计划并办理批复；</w:t>
      </w:r>
    </w:p>
    <w:p w14:paraId="076E07A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3.单项工程投资 200 万元以上的工程项目不予调剂。</w:t>
      </w:r>
    </w:p>
    <w:p w14:paraId="782D582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（二）工程计划的增补、核减</w:t>
      </w:r>
    </w:p>
    <w:p w14:paraId="20840A2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1.工程办通过 OA 办公系统行文上报集团公司，并履行工程计划决策程序；</w:t>
      </w:r>
    </w:p>
    <w:p w14:paraId="73DD0F5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2.单项工程投资 50 万元以下工程项目原则上不予增补。</w:t>
      </w:r>
    </w:p>
    <w:p w14:paraId="3E4C69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3.单项投资50万元以下的工程项目核减，经项目实施单位部门审核后报分管领导审批，由工程办通过工程管理系统上报集团公司进行工程计划季度调整；</w:t>
      </w:r>
    </w:p>
    <w:p w14:paraId="69616BE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4.单项投资50万元以上的工程项目核减，经项目实施单位分管领导审核后报公司经理办公会审议审批，由工程办通过工程管理系统上报集团公司进行工程计划季度调整。</w:t>
      </w:r>
    </w:p>
    <w:p w14:paraId="650ED61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第十三条</w:t>
      </w:r>
      <w:r>
        <w:rPr>
          <w:rFonts w:hint="eastAsia" w:ascii="仿宋_GB2312" w:hAnsi="宋体" w:eastAsia="仿宋_GB2312" w:cs="仿宋_GB2312"/>
          <w:bCs/>
          <w:sz w:val="32"/>
          <w:szCs w:val="32"/>
          <w:lang w:val="en-US" w:eastAsia="zh-CN"/>
        </w:rPr>
        <w:t xml:space="preserve"> 工程计划完成情况报告编制</w:t>
      </w:r>
    </w:p>
    <w:p w14:paraId="1285DB6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每月5日前，工程办通过工程项目管理系统填报工程计划月度完成情况，每年1月份编制上年度工程计划完成情况报告，报集团公司规划发展部。</w:t>
      </w:r>
    </w:p>
    <w:p w14:paraId="5469B40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每月23日前，项目实施单位按照年度工程计划实施节点上报工程项目进度（电子版、纸质版资料）至工程办；由工程办通过工程项目管理系统填报工程计划月度完成情况，每年1月份编制上年度工程计划完成情况报告，报集团公司规划发展部。</w:t>
      </w:r>
    </w:p>
    <w:p w14:paraId="318AACB9">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第四章 投资控制</w:t>
      </w:r>
    </w:p>
    <w:p w14:paraId="39DA587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第一节 设计管理</w:t>
      </w:r>
    </w:p>
    <w:p w14:paraId="0F51169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第十四条</w:t>
      </w:r>
      <w:r>
        <w:rPr>
          <w:rFonts w:hint="eastAsia" w:ascii="仿宋_GB2312" w:hAnsi="宋体" w:eastAsia="仿宋_GB2312" w:cs="仿宋_GB2312"/>
          <w:bCs/>
          <w:sz w:val="32"/>
          <w:szCs w:val="32"/>
          <w:lang w:val="en-US" w:eastAsia="zh-CN"/>
        </w:rPr>
        <w:t xml:space="preserve"> 工程项目设计包括项目方案设计、初步设计、施工图设计、安全措施设计。</w:t>
      </w:r>
    </w:p>
    <w:p w14:paraId="0EDC14B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第十五条 设计单位可通过西北能化招投标管理办法确定</w:t>
      </w:r>
    </w:p>
    <w:p w14:paraId="6D29B1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第十六条</w:t>
      </w:r>
      <w:r>
        <w:rPr>
          <w:rFonts w:hint="eastAsia" w:ascii="仿宋_GB2312" w:hAnsi="宋体" w:eastAsia="仿宋_GB2312" w:cs="仿宋_GB2312"/>
          <w:bCs/>
          <w:sz w:val="32"/>
          <w:szCs w:val="32"/>
          <w:lang w:val="en-US" w:eastAsia="zh-CN"/>
        </w:rPr>
        <w:t xml:space="preserve"> 工程设计审查</w:t>
      </w:r>
    </w:p>
    <w:p w14:paraId="2527ADC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（一）依法必招或企业必招工程项目，由公司各专业职能部室初审，各专业副总工程师组织审核后，按照集团公司工程项目管理办法，报集团公司专业副总师审查确认，必要时可外聘专家或委托咨询机构；</w:t>
      </w:r>
    </w:p>
    <w:p w14:paraId="332F65D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（二）其他工程项目，由项目实施单位审查确认。</w:t>
      </w:r>
    </w:p>
    <w:p w14:paraId="6B01986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第十七条</w:t>
      </w:r>
      <w:r>
        <w:rPr>
          <w:rFonts w:hint="eastAsia" w:ascii="仿宋_GB2312" w:hAnsi="宋体" w:eastAsia="仿宋_GB2312" w:cs="仿宋_GB2312"/>
          <w:bCs/>
          <w:sz w:val="32"/>
          <w:szCs w:val="32"/>
          <w:lang w:val="en-US" w:eastAsia="zh-CN"/>
        </w:rPr>
        <w:t xml:space="preserve"> 工程项目初步设计、重大工程方案设计经审查批准后，方可组织施工图设计、编制工程量清单及控制价（施工图预算）。施工图设计应严格控制在审定的投资概算内，严禁超工程量、超标准设计。</w:t>
      </w:r>
    </w:p>
    <w:p w14:paraId="6F9F8CD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第二节 工程造价管理</w:t>
      </w:r>
    </w:p>
    <w:p w14:paraId="6C5C554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第十八条</w:t>
      </w:r>
      <w:r>
        <w:rPr>
          <w:rFonts w:hint="eastAsia" w:ascii="仿宋_GB2312" w:hAnsi="宋体" w:eastAsia="仿宋_GB2312" w:cs="仿宋_GB2312"/>
          <w:bCs/>
          <w:sz w:val="32"/>
          <w:szCs w:val="32"/>
          <w:lang w:val="en-US" w:eastAsia="zh-CN"/>
        </w:rPr>
        <w:t xml:space="preserve"> 根据集团公司工程造价控制标准，采用集中会审、委托第三方机构的方式，对工程造价进行事前、事中、事后控制。</w:t>
      </w:r>
    </w:p>
    <w:p w14:paraId="16D1973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第十九条</w:t>
      </w:r>
      <w:r>
        <w:rPr>
          <w:rFonts w:hint="eastAsia" w:ascii="仿宋_GB2312" w:hAnsi="宋体" w:eastAsia="仿宋_GB2312" w:cs="仿宋_GB2312"/>
          <w:bCs/>
          <w:sz w:val="32"/>
          <w:szCs w:val="32"/>
          <w:lang w:val="en-US" w:eastAsia="zh-CN"/>
        </w:rPr>
        <w:t xml:space="preserve"> 项目实施单位是工程造价管理的责任主体，负责各阶段工程造价的控制和日常管理工作。</w:t>
      </w:r>
    </w:p>
    <w:p w14:paraId="2F9C4F8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编制可行性研究报告时，项目实施单位应根据建设规模、建设标准、估算指标、安全技术经济一体化相关要求和其他相关规定，编制投资估算。</w:t>
      </w:r>
    </w:p>
    <w:p w14:paraId="4252B04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第二十条</w:t>
      </w:r>
      <w:r>
        <w:rPr>
          <w:rFonts w:hint="eastAsia" w:ascii="仿宋_GB2312" w:hAnsi="宋体" w:eastAsia="仿宋_GB2312" w:cs="仿宋_GB2312"/>
          <w:bCs/>
          <w:sz w:val="32"/>
          <w:szCs w:val="32"/>
          <w:lang w:val="en-US" w:eastAsia="zh-CN"/>
        </w:rPr>
        <w:t xml:space="preserve"> 工程办应依据初步设计的内容、概算指标和相关规定编制设计概算。</w:t>
      </w:r>
    </w:p>
    <w:p w14:paraId="6F8BCE1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（一）依法必招工程初步设计概算由集团公司组织审查，必要时可聘请外部专家参与。其他工程由工程办组织审查。</w:t>
      </w:r>
    </w:p>
    <w:p w14:paraId="2DE17F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（二）项目实施单位按批准的初步设计及概算组织实施，不得擅自扩大建设规模、增加建设内容、提高建设标准、改变功能要求。</w:t>
      </w:r>
    </w:p>
    <w:p w14:paraId="2FBFF8E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第二十一条</w:t>
      </w:r>
      <w:r>
        <w:rPr>
          <w:rFonts w:hint="eastAsia" w:ascii="仿宋_GB2312" w:hAnsi="宋体" w:eastAsia="仿宋_GB2312" w:cs="仿宋_GB2312"/>
          <w:bCs/>
          <w:sz w:val="32"/>
          <w:szCs w:val="32"/>
          <w:lang w:val="en-US" w:eastAsia="zh-CN"/>
        </w:rPr>
        <w:t xml:space="preserve"> 施工图设计完成后，工程办应编制工程量清单及控制价（施工图预算），并严格控制在批准的初步设计概算以内。建设工程工程量清单及最高投标限价由经管部物资部工程办编制，必要时按相关规定委托造价咨询机构编制，依法必须招标项目由集团公司规划发展部负责审核。</w:t>
      </w:r>
    </w:p>
    <w:p w14:paraId="42206B2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第二十二条</w:t>
      </w:r>
      <w:r>
        <w:rPr>
          <w:rFonts w:hint="eastAsia" w:ascii="仿宋_GB2312" w:hAnsi="宋体" w:eastAsia="仿宋_GB2312" w:cs="仿宋_GB2312"/>
          <w:bCs/>
          <w:sz w:val="32"/>
          <w:szCs w:val="32"/>
          <w:lang w:val="en-US" w:eastAsia="zh-CN"/>
        </w:rPr>
        <w:t xml:space="preserve"> 加强甲供材管理。项目实施单位应严格材料采购、入库验收、移拨出库（清包时领料出库）、登记入账等审批手续，支付工程进度款时应扣回甲供材料款。</w:t>
      </w:r>
    </w:p>
    <w:p w14:paraId="7D42FAE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第二十三条</w:t>
      </w:r>
      <w:r>
        <w:rPr>
          <w:rFonts w:hint="eastAsia" w:ascii="仿宋_GB2312" w:hAnsi="宋体" w:eastAsia="仿宋_GB2312" w:cs="仿宋_GB2312"/>
          <w:bCs/>
          <w:sz w:val="32"/>
          <w:szCs w:val="32"/>
          <w:lang w:val="en-US" w:eastAsia="zh-CN"/>
        </w:rPr>
        <w:t xml:space="preserve"> 规范材料价格审批。项目实施单位应建立材料价格询价定价机制，履行材料价格审批手续。对大宗材料、装饰材料、安装主材及新型材料，实施前必须进行市场调研。</w:t>
      </w:r>
    </w:p>
    <w:p w14:paraId="5F5AF80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第二十四条</w:t>
      </w:r>
      <w:r>
        <w:rPr>
          <w:rFonts w:hint="eastAsia" w:ascii="仿宋_GB2312" w:hAnsi="宋体" w:eastAsia="仿宋_GB2312" w:cs="仿宋_GB2312"/>
          <w:bCs/>
          <w:sz w:val="32"/>
          <w:szCs w:val="32"/>
          <w:lang w:val="en-US" w:eastAsia="zh-CN"/>
        </w:rPr>
        <w:t xml:space="preserve"> 工程项目按“竣工一个、验收一个、结算一个”的要求进行竣工结算。工程办负责对工程结算初审后，报集团公司规划发展部审核。竣工结算应按规定表格样式编审，加盖编制人员资格章、编制单位公章（预算专用章），审查及校核人员资格章、审核部门公章（预算专用章）。</w:t>
      </w:r>
    </w:p>
    <w:p w14:paraId="02A10DB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第二十五条</w:t>
      </w:r>
      <w:r>
        <w:rPr>
          <w:rFonts w:hint="eastAsia" w:ascii="仿宋_GB2312" w:hAnsi="宋体" w:eastAsia="仿宋_GB2312" w:cs="仿宋_GB2312"/>
          <w:bCs/>
          <w:sz w:val="32"/>
          <w:szCs w:val="32"/>
          <w:lang w:val="en-US" w:eastAsia="zh-CN"/>
        </w:rPr>
        <w:t xml:space="preserve"> 竣工结算资料必须齐全、符合要求，包括但不限于：工程合同，招投标文件、中标承诺，开工报告、竣工验收证书，施工图、会审记录、竣工图，设计变更和检查验收记录，施工组织设计和技术安全措施，工作联系单、工程量详单、工程签证费用审批表、工程签证确认单、材料价格审批表、施工单位项目经理考勤记录。</w:t>
      </w:r>
    </w:p>
    <w:p w14:paraId="7325ADB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第二十六条 </w:t>
      </w:r>
      <w:r>
        <w:rPr>
          <w:rFonts w:hint="eastAsia" w:ascii="仿宋_GB2312" w:hAnsi="宋体" w:eastAsia="仿宋_GB2312" w:cs="仿宋_GB2312"/>
          <w:bCs/>
          <w:sz w:val="32"/>
          <w:szCs w:val="32"/>
          <w:lang w:val="en-US" w:eastAsia="zh-CN"/>
        </w:rPr>
        <w:t>工程竣工验收合格后，项目实施单位应要求施工单位在 28 天内编制竣工结算书，提交符合要求的结算资料。工程办按以下时限要求完成初审：单项工程竣工结算报审金额为 500 万元以下的，20 天内完成；500万元以上、2000 万元以下的，30天内完成；2000万元以上、5000万元以下的，45天内完成；5000万元以上的，60天内完成。初审完成后，上报集团公司规划发展部审核。</w:t>
      </w:r>
    </w:p>
    <w:p w14:paraId="4F2C362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第二十七条</w:t>
      </w:r>
      <w:r>
        <w:rPr>
          <w:rFonts w:hint="eastAsia" w:ascii="仿宋_GB2312" w:hAnsi="宋体" w:eastAsia="仿宋_GB2312" w:cs="仿宋_GB2312"/>
          <w:bCs/>
          <w:sz w:val="32"/>
          <w:szCs w:val="32"/>
          <w:lang w:val="en-US" w:eastAsia="zh-CN"/>
        </w:rPr>
        <w:t xml:space="preserve"> 工程造价计价选用的定额及取费标准</w:t>
      </w:r>
    </w:p>
    <w:p w14:paraId="23FFAB7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一般土建、安装工程计价采用工程所在地现行工程造价计价依据；化工、电力工程等计价采用现行的相应行业计价依据。</w:t>
      </w:r>
    </w:p>
    <w:p w14:paraId="64F2661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第三节 工程变更及签证管理</w:t>
      </w:r>
    </w:p>
    <w:p w14:paraId="13048E8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第二十八条 </w:t>
      </w:r>
      <w:r>
        <w:rPr>
          <w:rFonts w:hint="eastAsia" w:ascii="仿宋_GB2312" w:hAnsi="宋体" w:eastAsia="仿宋_GB2312" w:cs="仿宋_GB2312"/>
          <w:bCs/>
          <w:sz w:val="32"/>
          <w:szCs w:val="32"/>
          <w:lang w:val="en-US" w:eastAsia="zh-CN"/>
        </w:rPr>
        <w:t>工程变更是指工程施工过程中为保证设计和施工质量，完善工程设计，纠正设计错误以及满足现场条件变化而进行的设计修改。工程变更按技术经济影响程度的不同，分为一般工程变更、较大工程变更和重大工程变更。</w:t>
      </w:r>
    </w:p>
    <w:p w14:paraId="2670302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楷体_GB2312" w:hAnsi="楷体_GB2312" w:eastAsia="楷体_GB2312" w:cs="楷体_GB2312"/>
          <w:bCs/>
          <w:sz w:val="32"/>
          <w:szCs w:val="32"/>
          <w:lang w:val="en-US" w:eastAsia="zh-CN"/>
        </w:rPr>
        <w:t>（一）一般工程变更：</w:t>
      </w:r>
      <w:r>
        <w:rPr>
          <w:rFonts w:hint="eastAsia" w:ascii="仿宋_GB2312" w:hAnsi="宋体" w:eastAsia="仿宋_GB2312" w:cs="仿宋_GB2312"/>
          <w:bCs/>
          <w:sz w:val="32"/>
          <w:szCs w:val="32"/>
          <w:lang w:val="en-US" w:eastAsia="zh-CN"/>
        </w:rPr>
        <w:t>是指修改范围较小，未影响工程结构、未改变设计功能或用途，单次工程变更投资增加额在合同价款的5%以下且在 30 万元以下的变更；</w:t>
      </w:r>
    </w:p>
    <w:p w14:paraId="5BD628C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楷体_GB2312" w:hAnsi="楷体_GB2312" w:eastAsia="楷体_GB2312" w:cs="楷体_GB2312"/>
          <w:bCs/>
          <w:sz w:val="32"/>
          <w:szCs w:val="32"/>
          <w:lang w:val="en-US" w:eastAsia="zh-CN"/>
        </w:rPr>
        <w:t>（二）较大工程变更：</w:t>
      </w:r>
      <w:r>
        <w:rPr>
          <w:rFonts w:hint="eastAsia" w:ascii="仿宋_GB2312" w:hAnsi="宋体" w:eastAsia="仿宋_GB2312" w:cs="仿宋_GB2312"/>
          <w:bCs/>
          <w:sz w:val="32"/>
          <w:szCs w:val="32"/>
          <w:lang w:val="en-US" w:eastAsia="zh-CN"/>
        </w:rPr>
        <w:t>是指设计修改范围较大，未影响工程结构、未改变设计功能或用途，单次工程变更投资增加额在合同价款 5%以上、10%以下，或单次工程变更增加额在 30 万元以上100 万元以下的变更；</w:t>
      </w:r>
    </w:p>
    <w:p w14:paraId="4B48694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楷体_GB2312" w:hAnsi="楷体_GB2312" w:eastAsia="楷体_GB2312" w:cs="楷体_GB2312"/>
          <w:bCs/>
          <w:sz w:val="32"/>
          <w:szCs w:val="32"/>
          <w:lang w:val="en-US" w:eastAsia="zh-CN"/>
        </w:rPr>
        <w:t>（三）重大工程变更：</w:t>
      </w:r>
      <w:r>
        <w:rPr>
          <w:rFonts w:hint="eastAsia" w:ascii="仿宋_GB2312" w:hAnsi="宋体" w:eastAsia="仿宋_GB2312" w:cs="仿宋_GB2312"/>
          <w:bCs/>
          <w:sz w:val="32"/>
          <w:szCs w:val="32"/>
          <w:lang w:val="en-US" w:eastAsia="zh-CN"/>
        </w:rPr>
        <w:t>是指设计修改范围大，影响工程结构、改变设计功能或用途，改变了初步设计审查确定的建设规模、工程设计方案、技术标准及地质条件发生重大变化的设计变更，单次工程变更投资增加额在合同价款 10%以上，或单次工程变更增加额在 100 万元以上的变更。</w:t>
      </w:r>
    </w:p>
    <w:p w14:paraId="29101A9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第二十九条</w:t>
      </w:r>
      <w:r>
        <w:rPr>
          <w:rFonts w:hint="eastAsia" w:ascii="仿宋_GB2312" w:hAnsi="宋体" w:eastAsia="仿宋_GB2312" w:cs="仿宋_GB2312"/>
          <w:bCs/>
          <w:sz w:val="32"/>
          <w:szCs w:val="32"/>
          <w:lang w:val="en-US" w:eastAsia="zh-CN"/>
        </w:rPr>
        <w:t xml:space="preserve"> 工程变更按照变更提出主体的不同，分为以下三类：</w:t>
      </w:r>
    </w:p>
    <w:p w14:paraId="512247F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（一）由设计单位提出的设计变更；</w:t>
      </w:r>
    </w:p>
    <w:p w14:paraId="7789824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（二）由项目实施单位提出的变更；</w:t>
      </w:r>
    </w:p>
    <w:p w14:paraId="790CB9B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（三）由施工单位提出的变更。</w:t>
      </w:r>
    </w:p>
    <w:p w14:paraId="410BF7D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第三十条 </w:t>
      </w:r>
      <w:r>
        <w:rPr>
          <w:rFonts w:hint="eastAsia" w:ascii="仿宋_GB2312" w:hAnsi="宋体" w:eastAsia="仿宋_GB2312" w:cs="仿宋_GB2312"/>
          <w:bCs/>
          <w:sz w:val="32"/>
          <w:szCs w:val="32"/>
          <w:lang w:val="en-US" w:eastAsia="zh-CN"/>
        </w:rPr>
        <w:t>工程变更提出单位备齐相关原始资料，工程变更联系单、变更工程量清单、工程变更费用审查表经项目实施单位工地代表审查后，履行以下审批程序：</w:t>
      </w:r>
    </w:p>
    <w:p w14:paraId="5198F3F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一般工程变更由公司分管工程领导组织审批；</w:t>
      </w:r>
    </w:p>
    <w:p w14:paraId="5846516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较大工程变更由公司集体研究确定；</w:t>
      </w:r>
    </w:p>
    <w:p w14:paraId="6CBC695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重大工程变更必须重新履行原设计审查程序。</w:t>
      </w:r>
    </w:p>
    <w:p w14:paraId="22F58B2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依法必招工程项目发生重大变更，公司集体研究后，通过OA办公系统行文，提出变更申请，附变更的原因、变更的内容及图纸等资料，能准确计算出工程量和变更的金额，报集团公司审批。</w:t>
      </w:r>
    </w:p>
    <w:p w14:paraId="1A3E898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第三十一条</w:t>
      </w:r>
      <w:r>
        <w:rPr>
          <w:rFonts w:hint="eastAsia" w:ascii="仿宋_GB2312" w:hAnsi="宋体" w:eastAsia="仿宋_GB2312" w:cs="仿宋_GB2312"/>
          <w:bCs/>
          <w:sz w:val="32"/>
          <w:szCs w:val="32"/>
          <w:lang w:val="en-US" w:eastAsia="zh-CN"/>
        </w:rPr>
        <w:t xml:space="preserve"> 工程变更管理实行变更金额累计计算、分级审批的方式，当工程变更累计增加额达到合同价款5%或10%后，新增变更需按照较大工程变更或重大工程变更履行审批程序。工程变更按管理权限批准后，方可组织实施。</w:t>
      </w:r>
    </w:p>
    <w:p w14:paraId="28B5C60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第三十二条</w:t>
      </w:r>
      <w:r>
        <w:rPr>
          <w:rFonts w:hint="eastAsia" w:ascii="仿宋_GB2312" w:hAnsi="宋体" w:eastAsia="仿宋_GB2312" w:cs="仿宋_GB2312"/>
          <w:bCs/>
          <w:sz w:val="32"/>
          <w:szCs w:val="32"/>
          <w:lang w:val="en-US" w:eastAsia="zh-CN"/>
        </w:rPr>
        <w:t xml:space="preserve"> 工程签证的种类：</w:t>
      </w:r>
    </w:p>
    <w:p w14:paraId="71C25BE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（一）隐蔽工程签证、地质变化签证、停电停水及窝工影响签证等；</w:t>
      </w:r>
    </w:p>
    <w:p w14:paraId="0C01856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（二）因项目实施单位原因造成的返工处理签证、材料运距超合同约定签证等；</w:t>
      </w:r>
    </w:p>
    <w:p w14:paraId="32E685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（三）项目停工、缓建造成的人员机械损失签证，采用大型机具措施签证等。</w:t>
      </w:r>
    </w:p>
    <w:p w14:paraId="7B27320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第三十三条</w:t>
      </w:r>
      <w:r>
        <w:rPr>
          <w:rFonts w:hint="eastAsia" w:ascii="仿宋_GB2312" w:hAnsi="宋体" w:eastAsia="仿宋_GB2312" w:cs="仿宋_GB2312"/>
          <w:bCs/>
          <w:sz w:val="32"/>
          <w:szCs w:val="32"/>
          <w:lang w:val="en-US" w:eastAsia="zh-CN"/>
        </w:rPr>
        <w:t xml:space="preserve"> 工程签证办理的原则：</w:t>
      </w:r>
    </w:p>
    <w:p w14:paraId="1FB20A4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（一）规范性：涉及工程造价调整内容的工程签证，必须经工程造价管理人员会审，严禁以请示、报告、工作联系单代替工程签证；</w:t>
      </w:r>
    </w:p>
    <w:p w14:paraId="13FF95B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（二）及时性：要及时，讲求时效，工程签证必须在事由发生 7 天内办理完毕；发生隐蔽工程时，必须在实施下一步工序前办理隐蔽签证；</w:t>
      </w:r>
    </w:p>
    <w:p w14:paraId="77E081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（三）完整性：经办人员字迹清晰，签证内容真实完整，发生费用索赔的工程签证，索赔定性明确、理由充分。</w:t>
      </w:r>
    </w:p>
    <w:p w14:paraId="6F0B17D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第三十四条</w:t>
      </w:r>
      <w:r>
        <w:rPr>
          <w:rFonts w:hint="eastAsia" w:ascii="仿宋_GB2312" w:hAnsi="宋体" w:eastAsia="仿宋_GB2312" w:cs="仿宋_GB2312"/>
          <w:bCs/>
          <w:sz w:val="32"/>
          <w:szCs w:val="32"/>
          <w:lang w:val="en-US" w:eastAsia="zh-CN"/>
        </w:rPr>
        <w:t xml:space="preserve"> 工程签证办理必须满足以下条件之一：</w:t>
      </w:r>
    </w:p>
    <w:p w14:paraId="127192B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（一）合同内明确约定办理工程签证；</w:t>
      </w:r>
    </w:p>
    <w:p w14:paraId="37501EB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（二）合同中工程量清单未包含而实际发生的施工内容；</w:t>
      </w:r>
    </w:p>
    <w:p w14:paraId="68E2C8A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（三）施工图纸、工程变更所确定的工程内容以外的项目；</w:t>
      </w:r>
    </w:p>
    <w:p w14:paraId="55F1165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（四）施工图预算或预算定额取费中未包含而施工中又实际发生费用的施工内容；</w:t>
      </w:r>
    </w:p>
    <w:p w14:paraId="76F90EA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（五）因项目实施单位原因增加的其他费用项目。</w:t>
      </w:r>
    </w:p>
    <w:p w14:paraId="25807CE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第三十五条</w:t>
      </w:r>
      <w:r>
        <w:rPr>
          <w:rFonts w:hint="eastAsia" w:ascii="仿宋_GB2312" w:hAnsi="宋体" w:eastAsia="仿宋_GB2312" w:cs="仿宋_GB2312"/>
          <w:bCs/>
          <w:sz w:val="32"/>
          <w:szCs w:val="32"/>
          <w:lang w:val="en-US" w:eastAsia="zh-CN"/>
        </w:rPr>
        <w:t xml:space="preserve"> 不予办理的工程签证：</w:t>
      </w:r>
    </w:p>
    <w:p w14:paraId="5170A5F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（一）合同或协议中工程价款包干的内容；</w:t>
      </w:r>
    </w:p>
    <w:p w14:paraId="4278DA2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（二）发生施工质量事故造成的工程返修、加固、拆除事项；</w:t>
      </w:r>
    </w:p>
    <w:p w14:paraId="670BF02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（三）施工单位原因造成的停工、窝工损失；</w:t>
      </w:r>
    </w:p>
    <w:p w14:paraId="22DF805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（四）施工单位违规操作或工作失职造成的停水、停电和安全事故损失；</w:t>
      </w:r>
    </w:p>
    <w:p w14:paraId="278197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（五）施工单位为创品牌工程增加的费用；</w:t>
      </w:r>
    </w:p>
    <w:p w14:paraId="47D2D36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（六）虚报工程内容增加的费用；</w:t>
      </w:r>
    </w:p>
    <w:p w14:paraId="17072BD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（七）施工单位应承担的风险费用；</w:t>
      </w:r>
    </w:p>
    <w:p w14:paraId="6992554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（八）因施工单位责任增加的其他费用项目；</w:t>
      </w:r>
    </w:p>
    <w:p w14:paraId="56260B0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（九）与合同约定无关的新增工程；</w:t>
      </w:r>
    </w:p>
    <w:p w14:paraId="4C66916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（十）其他不符合办理工程签证的情形。</w:t>
      </w:r>
    </w:p>
    <w:p w14:paraId="29079D4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第三十六条</w:t>
      </w:r>
      <w:r>
        <w:rPr>
          <w:rFonts w:hint="eastAsia" w:ascii="仿宋_GB2312" w:hAnsi="宋体" w:eastAsia="仿宋_GB2312" w:cs="仿宋_GB2312"/>
          <w:bCs/>
          <w:sz w:val="32"/>
          <w:szCs w:val="32"/>
          <w:lang w:val="en-US" w:eastAsia="zh-CN"/>
        </w:rPr>
        <w:t xml:space="preserve"> 施工单位根据项目实施单位要求，及时如实填写工作联系单、工程量详单、工程签证费用明细表，报项目实施单位批准，并根据审核意见实施。施工完毕验收合格后，办理工程签证确认单，批准的工程签证费用明细表方可作为结算依据。</w:t>
      </w:r>
    </w:p>
    <w:p w14:paraId="56F77D8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第三十七条</w:t>
      </w:r>
      <w:r>
        <w:rPr>
          <w:rFonts w:hint="eastAsia" w:ascii="仿宋_GB2312" w:hAnsi="宋体" w:eastAsia="仿宋_GB2312" w:cs="仿宋_GB2312"/>
          <w:bCs/>
          <w:sz w:val="32"/>
          <w:szCs w:val="32"/>
          <w:lang w:val="en-US" w:eastAsia="zh-CN"/>
        </w:rPr>
        <w:t xml:space="preserve"> 工程签证，事前应由项目经理提出申请（ 两单一表），报项目实施单位及工程办审核。施工过程中通过照片、视频等方式做好记录，全面、真实地反映施工情况，事毕及时办理工程签证验收手续。各类工程签证，项目实施单位相关审核人员签证后，报工程办签字认可，经分管工程领导批准，方可作为竣工结算的依据。</w:t>
      </w:r>
    </w:p>
    <w:p w14:paraId="0629FC9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第三十八条</w:t>
      </w:r>
      <w:r>
        <w:rPr>
          <w:rFonts w:hint="eastAsia" w:ascii="仿宋_GB2312" w:hAnsi="宋体" w:eastAsia="仿宋_GB2312" w:cs="仿宋_GB2312"/>
          <w:bCs/>
          <w:sz w:val="32"/>
          <w:szCs w:val="32"/>
          <w:lang w:val="en-US" w:eastAsia="zh-CN"/>
        </w:rPr>
        <w:t xml:space="preserve"> 工程签证管理实行增加金额累计计算，根据增加额比照工程变更管理权限履行审批程序。</w:t>
      </w:r>
    </w:p>
    <w:p w14:paraId="28A4109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第三十九条</w:t>
      </w:r>
      <w:r>
        <w:rPr>
          <w:rFonts w:hint="eastAsia" w:ascii="仿宋_GB2312" w:hAnsi="宋体" w:eastAsia="仿宋_GB2312" w:cs="仿宋_GB2312"/>
          <w:bCs/>
          <w:sz w:val="32"/>
          <w:szCs w:val="32"/>
          <w:lang w:val="en-US" w:eastAsia="zh-CN"/>
        </w:rPr>
        <w:t xml:space="preserve"> 工程结算时，施工单位应向项目实施单位提供所有工程签证文件，有下列之一的签证按无效签证处理：</w:t>
      </w:r>
    </w:p>
    <w:p w14:paraId="7C1EFD1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（一）未经项目实施单位、工程办及分管工程领导审签的；</w:t>
      </w:r>
    </w:p>
    <w:p w14:paraId="39D58B9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（二）工程签证工程量与实际不符，有涂改现象的；</w:t>
      </w:r>
    </w:p>
    <w:p w14:paraId="4941AE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（三）以信函、请示、报告、业务联系单替代工程签证的；</w:t>
      </w:r>
    </w:p>
    <w:p w14:paraId="433D5E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（四）未签工程量的；</w:t>
      </w:r>
    </w:p>
    <w:p w14:paraId="465126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（五）未经价格审批程序直接签价格的；</w:t>
      </w:r>
    </w:p>
    <w:p w14:paraId="6505A2D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（六）提供复印件的；</w:t>
      </w:r>
    </w:p>
    <w:p w14:paraId="3033613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（七）其他签批手续不符合集团公司和公司管理规定的。</w:t>
      </w:r>
    </w:p>
    <w:p w14:paraId="195470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第四十条</w:t>
      </w:r>
      <w:r>
        <w:rPr>
          <w:rFonts w:hint="eastAsia" w:ascii="仿宋_GB2312" w:hAnsi="宋体" w:eastAsia="仿宋_GB2312" w:cs="仿宋_GB2312"/>
          <w:bCs/>
          <w:sz w:val="32"/>
          <w:szCs w:val="32"/>
          <w:lang w:val="en-US" w:eastAsia="zh-CN"/>
        </w:rPr>
        <w:t xml:space="preserve"> 工程发生变更及签证的，须依时间顺序在工程项目管理系统中录入并上传审批审核的相关资料。</w:t>
      </w:r>
    </w:p>
    <w:p w14:paraId="52009C0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第四十一条</w:t>
      </w:r>
      <w:r>
        <w:rPr>
          <w:rFonts w:hint="eastAsia" w:ascii="仿宋_GB2312" w:hAnsi="宋体" w:eastAsia="仿宋_GB2312" w:cs="仿宋_GB2312"/>
          <w:bCs/>
          <w:sz w:val="32"/>
          <w:szCs w:val="32"/>
          <w:lang w:val="en-US" w:eastAsia="zh-CN"/>
        </w:rPr>
        <w:t xml:space="preserve"> 工程变更及签证导致合同变化的，须按合同管理相关规定，办理合同变更手续后，方可进行工程变更或签证。</w:t>
      </w:r>
    </w:p>
    <w:p w14:paraId="5F4600C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第四节 自营工程管理</w:t>
      </w:r>
    </w:p>
    <w:p w14:paraId="30787F2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第四十二条</w:t>
      </w:r>
      <w:r>
        <w:rPr>
          <w:rFonts w:hint="eastAsia" w:ascii="仿宋_GB2312" w:hAnsi="宋体" w:eastAsia="仿宋_GB2312" w:cs="仿宋_GB2312"/>
          <w:bCs/>
          <w:sz w:val="32"/>
          <w:szCs w:val="32"/>
          <w:lang w:val="en-US" w:eastAsia="zh-CN"/>
        </w:rPr>
        <w:t xml:space="preserve"> 鼓励项目单位实施自营工程，根据集团公司下达的工程计划，各项目实施单位申请，经公司分管领导及总经理审批后，报工程办，编制年度自营工程计划。</w:t>
      </w:r>
    </w:p>
    <w:p w14:paraId="0A8562C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第四十三条</w:t>
      </w:r>
      <w:r>
        <w:rPr>
          <w:rFonts w:hint="eastAsia" w:ascii="仿宋_GB2312" w:hAnsi="宋体" w:eastAsia="仿宋_GB2312" w:cs="仿宋_GB2312"/>
          <w:bCs/>
          <w:sz w:val="32"/>
          <w:szCs w:val="32"/>
          <w:lang w:val="en-US" w:eastAsia="zh-CN"/>
        </w:rPr>
        <w:t xml:space="preserve"> 自营工程结算：自营工程利润、社会保险费、住房公积金、税金不计取，人工、材料、机械按规定计算。</w:t>
      </w:r>
    </w:p>
    <w:p w14:paraId="44658F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第四十四条</w:t>
      </w:r>
      <w:r>
        <w:rPr>
          <w:rFonts w:hint="eastAsia" w:ascii="仿宋_GB2312" w:hAnsi="宋体" w:eastAsia="仿宋_GB2312" w:cs="仿宋_GB2312"/>
          <w:bCs/>
          <w:sz w:val="32"/>
          <w:szCs w:val="32"/>
          <w:lang w:val="en-US" w:eastAsia="zh-CN"/>
        </w:rPr>
        <w:t xml:space="preserve"> 自营工程竣工验收合格后，应及时办理结算审计。审计后的自营工程人工费作为专项资金，由公司人力资源部协调集团劳资部拨付工资。项目单位按照公司工资分配管理办法进行分配。</w:t>
      </w:r>
    </w:p>
    <w:p w14:paraId="1B4066E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第四十五条 自营工程施工管理参照公司零星工程施工程序执行</w:t>
      </w:r>
    </w:p>
    <w:p w14:paraId="4A6998A0">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rPr>
      </w:pPr>
      <w:r>
        <w:rPr>
          <w:rFonts w:hint="eastAsia" w:ascii="Arial" w:hAnsi="Arial" w:eastAsia="黑体"/>
          <w:b w:val="0"/>
          <w:bCs/>
          <w:sz w:val="32"/>
          <w:lang w:val="en-US" w:eastAsia="zh-CN"/>
        </w:rPr>
        <w:t>第五章 现场管理</w:t>
      </w:r>
    </w:p>
    <w:p w14:paraId="2BEA425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第一节 质量控制</w:t>
      </w:r>
    </w:p>
    <w:p w14:paraId="537C068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第四十六条</w:t>
      </w:r>
      <w:r>
        <w:rPr>
          <w:rFonts w:hint="eastAsia" w:ascii="仿宋_GB2312" w:hAnsi="宋体" w:eastAsia="仿宋_GB2312" w:cs="仿宋_GB2312"/>
          <w:bCs/>
          <w:sz w:val="32"/>
          <w:szCs w:val="32"/>
          <w:lang w:val="en-US" w:eastAsia="zh-CN"/>
        </w:rPr>
        <w:t xml:space="preserve"> 项目实施单位监督施工单位（包括监理单位）建立质量管理体系，组建项目管理机构，配齐管理人员，明确工程质量管理目标。在物资采购、储存、验收、领用，施工过程质量自检、互检、专检，隐蔽工程验收，以及涉及结构安全和主要使用功能的抽查检验等环节建立质量管控制度，落实岗位责任制。</w:t>
      </w:r>
    </w:p>
    <w:p w14:paraId="7C798ED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第四十七条</w:t>
      </w:r>
      <w:r>
        <w:rPr>
          <w:rFonts w:hint="eastAsia" w:ascii="仿宋_GB2312" w:hAnsi="宋体" w:eastAsia="仿宋_GB2312" w:cs="仿宋_GB2312"/>
          <w:bCs/>
          <w:sz w:val="32"/>
          <w:szCs w:val="32"/>
          <w:lang w:val="en-US" w:eastAsia="zh-CN"/>
        </w:rPr>
        <w:t xml:space="preserve"> 项目实施单位应组织设计单位（勘察单位）、施工单位、监理单位、公司相关部门进行图纸会审、设计交底。</w:t>
      </w:r>
    </w:p>
    <w:p w14:paraId="06E044D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第四十八条</w:t>
      </w:r>
      <w:r>
        <w:rPr>
          <w:rFonts w:hint="eastAsia" w:ascii="仿宋_GB2312" w:hAnsi="宋体" w:eastAsia="仿宋_GB2312" w:cs="仿宋_GB2312"/>
          <w:bCs/>
          <w:sz w:val="32"/>
          <w:szCs w:val="32"/>
          <w:lang w:val="en-US" w:eastAsia="zh-CN"/>
        </w:rPr>
        <w:t xml:space="preserve"> 项目实施单位要加强对施工单位的监管：</w:t>
      </w:r>
    </w:p>
    <w:p w14:paraId="0B2FC8D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（一）根据投标文件和合同约定，督促施工单位按要求配备项目经理及项目管理机构其他成员，核查相关任命文件；</w:t>
      </w:r>
    </w:p>
    <w:p w14:paraId="62DB840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（二）检查建筑工人实名制是否落实到位、是否依法参加工伤保险；</w:t>
      </w:r>
    </w:p>
    <w:p w14:paraId="307DB9B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（三）检查项目经理、专职安全管理人员和特种作业人员持证上岗情况；</w:t>
      </w:r>
    </w:p>
    <w:p w14:paraId="5DB8D53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（四）检查安全生产教育培训的开展情况；</w:t>
      </w:r>
    </w:p>
    <w:p w14:paraId="76C226F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（五）检查工程安全技术交底情况；</w:t>
      </w:r>
    </w:p>
    <w:p w14:paraId="12574FD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（六）检查施工组织设计的编制审核及落实情况；</w:t>
      </w:r>
    </w:p>
    <w:p w14:paraId="454A855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（七）检查专项施工方案的编制审核及落实情况；</w:t>
      </w:r>
    </w:p>
    <w:p w14:paraId="031F4E9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（八）检查文明施工专项方案的编制审核及落实情况；</w:t>
      </w:r>
    </w:p>
    <w:p w14:paraId="69E803D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（九）对项目经理、安全人员、技术人员考勤；</w:t>
      </w:r>
    </w:p>
    <w:p w14:paraId="788DAF6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（十）检查项目专职安全管理员每天在施工现场开展的安全检查记录；</w:t>
      </w:r>
    </w:p>
    <w:p w14:paraId="4B9F54E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（十一）检查施工日志、工程质量自评报告和工程施工总结；</w:t>
      </w:r>
    </w:p>
    <w:p w14:paraId="719F8F6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（十二）严格按照相关法律法规，履行项目经理更换程序，更换后的项目经理不低于原投标时项目经理的资质。</w:t>
      </w:r>
    </w:p>
    <w:p w14:paraId="05B70EE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第四十九条</w:t>
      </w:r>
      <w:r>
        <w:rPr>
          <w:rFonts w:hint="eastAsia" w:ascii="仿宋_GB2312" w:hAnsi="宋体" w:eastAsia="仿宋_GB2312" w:cs="仿宋_GB2312"/>
          <w:bCs/>
          <w:sz w:val="32"/>
          <w:szCs w:val="32"/>
          <w:lang w:val="en-US" w:eastAsia="zh-CN"/>
        </w:rPr>
        <w:t xml:space="preserve"> 施工单位根据工程项目特点，界定重点工序和关键工序，明确其质量控制点及控制措施。下列因素应作为质量控制点重点控制：</w:t>
      </w:r>
    </w:p>
    <w:p w14:paraId="5F5818A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（一）施工过程中的关键工序或环节以及隐蔽工程；</w:t>
      </w:r>
    </w:p>
    <w:p w14:paraId="34C26EB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（二）对下道工序的施工质量有重大影响的工序、部位或对象；</w:t>
      </w:r>
    </w:p>
    <w:p w14:paraId="779205B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（三）施工中的薄弱环节，质量不稳定的工序、部位或对象；</w:t>
      </w:r>
    </w:p>
    <w:p w14:paraId="41E9BCE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（四）采用新技术、新工艺、新材料的部位或环节；</w:t>
      </w:r>
    </w:p>
    <w:p w14:paraId="76DBF0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（五）施工条件困难、技术难度大的工序或环节；</w:t>
      </w:r>
    </w:p>
    <w:p w14:paraId="2D2F54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（六）容易出现质量通病的部位。</w:t>
      </w:r>
    </w:p>
    <w:p w14:paraId="515DF21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第五十条</w:t>
      </w:r>
      <w:r>
        <w:rPr>
          <w:rFonts w:hint="eastAsia" w:ascii="仿宋_GB2312" w:hAnsi="宋体" w:eastAsia="仿宋_GB2312" w:cs="仿宋_GB2312"/>
          <w:bCs/>
          <w:sz w:val="32"/>
          <w:szCs w:val="32"/>
          <w:lang w:val="en-US" w:eastAsia="zh-CN"/>
        </w:rPr>
        <w:t xml:space="preserve"> 施工单位应编写施工组织设计，重要的分项（专业）工程必须单独编制专项施工方案，施工组织设计或专项施工方案经施工单位质量、安全等技术部门会审，经技术负责人和项目经理审核批准后，报总监（项目实施单位负责人）审核签认批复。施工条件发生变化，施工单位应及时修订施工组织设计或专项施工方案，经总监（项目实施单位负责人）审核签认批复后执行。项目单位负责人在签批时，应按规定组织专业技术人员共同审核。</w:t>
      </w:r>
    </w:p>
    <w:p w14:paraId="1B4F8AF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第五十一条</w:t>
      </w:r>
      <w:r>
        <w:rPr>
          <w:rFonts w:hint="eastAsia" w:ascii="仿宋_GB2312" w:hAnsi="宋体" w:eastAsia="仿宋_GB2312" w:cs="仿宋_GB2312"/>
          <w:bCs/>
          <w:sz w:val="32"/>
          <w:szCs w:val="32"/>
          <w:lang w:val="en-US" w:eastAsia="zh-CN"/>
        </w:rPr>
        <w:t xml:space="preserve"> 严格工程质量阶段验收</w:t>
      </w:r>
    </w:p>
    <w:p w14:paraId="67C8455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（一）施工过程中，施工单位按计划和工程质量验收标准，分步骤、分阶段进行质量检查与验收。每道工序完成后应进行检查，并向监理单位报验，未经监理单位检查验收，不得进行下道工序施工；</w:t>
      </w:r>
    </w:p>
    <w:p w14:paraId="3422BC6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（二）检验批在施工单位自检合格后，由专业监理工程师（项目实施单位负责人）组织施工单位项目专业质量检查员、专业工长等进行验收；</w:t>
      </w:r>
    </w:p>
    <w:p w14:paraId="664F0D6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（三）分项工程在施工单位自检合格后，由专业监理工程师（项目实施单位负责人）组织施工单位项目专业质量（技术）负责人等进行验收；</w:t>
      </w:r>
    </w:p>
    <w:p w14:paraId="7291FA5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分部（子分部）工程质量在施工单位自评合格后，由总监（项目实施单位负责人）组织施工单位项目经理和技术、质量负责人等进行验收。地基与基础分部工程的验收，勘察、设计单位项目负责人和施工单位项目经理、技术、质量部门负责人均应参加；主体结构分部工程的验收，设计单位项目负责人和施工单位项目经理、技术、质量部门负责人均应参加。</w:t>
      </w:r>
    </w:p>
    <w:p w14:paraId="65784A8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第五十二条 工程质量监督和认证由项目实施单位向当地政府质监部门申请质量监督与认证。</w:t>
      </w:r>
    </w:p>
    <w:p w14:paraId="6AF0529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第五十三条</w:t>
      </w:r>
      <w:r>
        <w:rPr>
          <w:rFonts w:hint="eastAsia" w:ascii="仿宋_GB2312" w:hAnsi="宋体" w:eastAsia="仿宋_GB2312" w:cs="仿宋_GB2312"/>
          <w:bCs/>
          <w:sz w:val="32"/>
          <w:szCs w:val="32"/>
          <w:lang w:val="en-US" w:eastAsia="zh-CN"/>
        </w:rPr>
        <w:t xml:space="preserve"> 按照工程设计要求、施工技术标准和合同约定，项目实施单位督促施工单位按规范程序对建筑材料、建筑构配件、设备等进行检验，检验应当书面记录和专人签字，未经监理工程师（项目实施单位负责人）签字，不得在工程上使用，施工单位不得进行下一道工序的施工。</w:t>
      </w:r>
    </w:p>
    <w:p w14:paraId="10D615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第五十四条</w:t>
      </w:r>
      <w:r>
        <w:rPr>
          <w:rFonts w:hint="eastAsia" w:ascii="仿宋_GB2312" w:hAnsi="宋体" w:eastAsia="仿宋_GB2312" w:cs="仿宋_GB2312"/>
          <w:bCs/>
          <w:sz w:val="32"/>
          <w:szCs w:val="32"/>
          <w:lang w:val="en-US" w:eastAsia="zh-CN"/>
        </w:rPr>
        <w:t xml:space="preserve"> 施工单位对涉及结构安全的试块、试件以及有关材料，应当在监理（项目实施单位）监督下现场取样，并送具有相应资质等级的质量检测单位进行检测。</w:t>
      </w:r>
    </w:p>
    <w:p w14:paraId="385E3FE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第二节 安全与环境管理</w:t>
      </w:r>
    </w:p>
    <w:p w14:paraId="1834B79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第五十五条</w:t>
      </w:r>
      <w:r>
        <w:rPr>
          <w:rFonts w:hint="eastAsia" w:ascii="仿宋_GB2312" w:hAnsi="宋体" w:eastAsia="仿宋_GB2312" w:cs="仿宋_GB2312"/>
          <w:bCs/>
          <w:sz w:val="32"/>
          <w:szCs w:val="32"/>
          <w:lang w:val="en-US" w:eastAsia="zh-CN"/>
        </w:rPr>
        <w:t xml:space="preserve"> 项目实施单位是工程建设项目现场安全、环境管理的监管责任主体；承包单位是工程项目建设的安全、环境责任主体。</w:t>
      </w:r>
    </w:p>
    <w:p w14:paraId="2BAF9F2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第五十六条</w:t>
      </w:r>
      <w:r>
        <w:rPr>
          <w:rFonts w:hint="eastAsia" w:ascii="仿宋_GB2312" w:hAnsi="宋体" w:eastAsia="仿宋_GB2312" w:cs="仿宋_GB2312"/>
          <w:bCs/>
          <w:sz w:val="32"/>
          <w:szCs w:val="32"/>
          <w:lang w:val="en-US" w:eastAsia="zh-CN"/>
        </w:rPr>
        <w:t xml:space="preserve"> 安全设施、环保设施坚持与主体工程“同时设计、同时施工、同时投入使用”的“三同时”原则。</w:t>
      </w:r>
    </w:p>
    <w:p w14:paraId="438A123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第五十七条</w:t>
      </w:r>
      <w:r>
        <w:rPr>
          <w:rFonts w:hint="eastAsia" w:ascii="仿宋_GB2312" w:hAnsi="宋体" w:eastAsia="仿宋_GB2312" w:cs="仿宋_GB2312"/>
          <w:bCs/>
          <w:sz w:val="32"/>
          <w:szCs w:val="32"/>
          <w:lang w:val="en-US" w:eastAsia="zh-CN"/>
        </w:rPr>
        <w:t xml:space="preserve"> 工程项目的一切施工活动安全管理按照公司安全管理相关制度执行。须与施工单位签订安全生产管理协议，实行“一工程一协议”。</w:t>
      </w:r>
    </w:p>
    <w:p w14:paraId="0245E50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第五十八条</w:t>
      </w:r>
      <w:r>
        <w:rPr>
          <w:rFonts w:hint="eastAsia" w:ascii="仿宋_GB2312" w:hAnsi="宋体" w:eastAsia="仿宋_GB2312" w:cs="仿宋_GB2312"/>
          <w:bCs/>
          <w:sz w:val="32"/>
          <w:szCs w:val="32"/>
          <w:lang w:val="en-US" w:eastAsia="zh-CN"/>
        </w:rPr>
        <w:t xml:space="preserve"> 项目实施单位要求施工单位应当建立健全现场文明施工管理体系，明确职责分工，压实管理责任。</w:t>
      </w:r>
    </w:p>
    <w:p w14:paraId="641DE9D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第五十九条</w:t>
      </w:r>
      <w:r>
        <w:rPr>
          <w:rFonts w:hint="eastAsia" w:ascii="仿宋_GB2312" w:hAnsi="宋体" w:eastAsia="仿宋_GB2312" w:cs="仿宋_GB2312"/>
          <w:bCs/>
          <w:sz w:val="32"/>
          <w:szCs w:val="32"/>
          <w:lang w:val="en-US" w:eastAsia="zh-CN"/>
        </w:rPr>
        <w:t xml:space="preserve"> 施工前，施工单位应制定文明施工专项方案，报项目实施单位和项目总监审批后实施。内容包括围挡封闭施工、入口“五牌一图”、施工场地场容场貌、材料堆放、临时设施、现场安全防护与消防保卫、环境保护、工完场清及治安管理等内容。</w:t>
      </w:r>
    </w:p>
    <w:p w14:paraId="46DCEA5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施工前，施工单位应编制施工安全技术措施，经公司安全、技术负责人审查批准，对所有施工人员进行交底并签字确认。</w:t>
      </w:r>
    </w:p>
    <w:p w14:paraId="424B7B9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项目实施单位和监理单位按有关规定监督执行。</w:t>
      </w:r>
    </w:p>
    <w:p w14:paraId="1620A65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第六十条</w:t>
      </w:r>
      <w:r>
        <w:rPr>
          <w:rFonts w:hint="eastAsia" w:ascii="仿宋_GB2312" w:hAnsi="宋体" w:eastAsia="仿宋_GB2312" w:cs="仿宋_GB2312"/>
          <w:bCs/>
          <w:sz w:val="32"/>
          <w:szCs w:val="32"/>
          <w:lang w:val="en-US" w:eastAsia="zh-CN"/>
        </w:rPr>
        <w:t xml:space="preserve"> 建筑施工工地扬尘治理应符合“六个百分之百”要求，做到工地现场整洁有序。</w:t>
      </w:r>
    </w:p>
    <w:p w14:paraId="603936D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第六十一条</w:t>
      </w:r>
      <w:r>
        <w:rPr>
          <w:rFonts w:hint="eastAsia" w:ascii="仿宋_GB2312" w:hAnsi="宋体" w:eastAsia="仿宋_GB2312" w:cs="仿宋_GB2312"/>
          <w:bCs/>
          <w:sz w:val="32"/>
          <w:szCs w:val="32"/>
          <w:lang w:val="en-US" w:eastAsia="zh-CN"/>
        </w:rPr>
        <w:t xml:space="preserve"> 项目实施单位、监理单位及上级部门发现安全隐患和违反文明施工问题，应填写“现场检查笔录”，限期整改。项目实施单位、监理单位、施工单位均应建立问题的排查、登记、整改、验收台账。</w:t>
      </w:r>
    </w:p>
    <w:p w14:paraId="1E77E34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第六十二条</w:t>
      </w:r>
      <w:r>
        <w:rPr>
          <w:rFonts w:hint="eastAsia" w:ascii="仿宋_GB2312" w:hAnsi="宋体" w:eastAsia="仿宋_GB2312" w:cs="仿宋_GB2312"/>
          <w:bCs/>
          <w:sz w:val="32"/>
          <w:szCs w:val="32"/>
          <w:lang w:val="en-US" w:eastAsia="zh-CN"/>
        </w:rPr>
        <w:t xml:space="preserve"> 加强工程项目安全技术交底。</w:t>
      </w:r>
    </w:p>
    <w:p w14:paraId="057331E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（一）施工前，施工单位项目部技术人员应将分部分项工程有关安全施工的技术要求向施工班组、作业人员进行安全技术交底，安全管理人员应参加安全技术交底；</w:t>
      </w:r>
    </w:p>
    <w:p w14:paraId="7BCCA31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（二）安全技术交底必须以书面形式进行，并经交底双方签字确认。</w:t>
      </w:r>
    </w:p>
    <w:p w14:paraId="0035FDC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第六十三条</w:t>
      </w:r>
      <w:r>
        <w:rPr>
          <w:rFonts w:hint="eastAsia" w:ascii="仿宋_GB2312" w:hAnsi="宋体" w:eastAsia="仿宋_GB2312" w:cs="仿宋_GB2312"/>
          <w:bCs/>
          <w:sz w:val="32"/>
          <w:szCs w:val="32"/>
          <w:lang w:val="en-US" w:eastAsia="zh-CN"/>
        </w:rPr>
        <w:t xml:space="preserve"> 强化重大危险源的管理</w:t>
      </w:r>
    </w:p>
    <w:p w14:paraId="3B23DD4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施工单位根据承建工程施工范围和特点，在工程施工前，对施工现场可能出现的危险因素进行辨识、评价，对重大危险源登记建档公示，建立管理台账。</w:t>
      </w:r>
    </w:p>
    <w:p w14:paraId="3C28EE3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第六十四条</w:t>
      </w:r>
      <w:r>
        <w:rPr>
          <w:rFonts w:hint="eastAsia" w:ascii="仿宋_GB2312" w:hAnsi="宋体" w:eastAsia="仿宋_GB2312" w:cs="仿宋_GB2312"/>
          <w:bCs/>
          <w:sz w:val="32"/>
          <w:szCs w:val="32"/>
          <w:lang w:val="en-US" w:eastAsia="zh-CN"/>
        </w:rPr>
        <w:t xml:space="preserve"> 强化专项施工方案的落实</w:t>
      </w:r>
    </w:p>
    <w:p w14:paraId="129D877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对基坑支护与降水工程、土方开挖工程、人工挖孔桩工程、模板工程、起重吊装及安装拆卸工程、脚手架工程、拆除工程、爆破工程、建筑幕墙安装工程、钢结构安装工程、施工现场临时用电及其他危险性较大的工程，施工单位必须编制专项施工方案，并附必要的计算书。经项目经理审批、总监理工程师（项目实施单位负责人）签字确认后，由现场技术负责人、专职安全员监督实施。</w:t>
      </w:r>
    </w:p>
    <w:p w14:paraId="76297D1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第六十五条</w:t>
      </w:r>
      <w:r>
        <w:rPr>
          <w:rFonts w:hint="eastAsia" w:ascii="仿宋_GB2312" w:hAnsi="宋体" w:eastAsia="仿宋_GB2312" w:cs="仿宋_GB2312"/>
          <w:bCs/>
          <w:sz w:val="32"/>
          <w:szCs w:val="32"/>
          <w:lang w:val="en-US" w:eastAsia="zh-CN"/>
        </w:rPr>
        <w:t xml:space="preserve"> 建立安全检查、验收制度。</w:t>
      </w:r>
    </w:p>
    <w:p w14:paraId="55C3231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（一）项目经理组织工程技术人员、安全管理人员等会同项目总监理工程师（项目实施单位负责人）进行每周不少于一次的全面安全检查；</w:t>
      </w:r>
    </w:p>
    <w:p w14:paraId="764A885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（二）对重点环节和重点内容进行重点监控，严禁随意变动经过审查的专项施工方案；</w:t>
      </w:r>
    </w:p>
    <w:p w14:paraId="57C9EF7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（三）定期对重大危险源的安全措施进行检查、验收，对有重大危险源的施工作业，须有专职安全生产管理人员和监理人员进行现场监督。</w:t>
      </w:r>
    </w:p>
    <w:p w14:paraId="1576FAF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第六十六条</w:t>
      </w:r>
      <w:r>
        <w:rPr>
          <w:rFonts w:hint="eastAsia" w:ascii="仿宋_GB2312" w:hAnsi="宋体" w:eastAsia="仿宋_GB2312" w:cs="仿宋_GB2312"/>
          <w:bCs/>
          <w:sz w:val="32"/>
          <w:szCs w:val="32"/>
          <w:lang w:val="en-US" w:eastAsia="zh-CN"/>
        </w:rPr>
        <w:t xml:space="preserve"> 加强对施工现场的监管</w:t>
      </w:r>
    </w:p>
    <w:p w14:paraId="1763096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（一）检查“三宝”使用是否规范到位，“四口”和“五临边”是否有可靠防护措施；</w:t>
      </w:r>
    </w:p>
    <w:p w14:paraId="5216686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（二）危险性较大的分部分项工程施工时，是否按批准的专项施工方案施工，是否按规定安排现场技术负责人、专职安全员现场监督；</w:t>
      </w:r>
    </w:p>
    <w:p w14:paraId="42B9746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（三）施工起重吊装专项工程，是否划定安全作业范围、设置明显的警示标志、设专人实行全过程监护；</w:t>
      </w:r>
    </w:p>
    <w:p w14:paraId="6A90317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（四）施工现场临时用电是否安全。要求必须采用 TN-S 系统，符合“三级配电两级保护”，达到“一机、一箱、一闸、一漏”的要求；</w:t>
      </w:r>
    </w:p>
    <w:p w14:paraId="3B6BEEB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（五）施工现场动火是否有审批手续和相应的监护措施；</w:t>
      </w:r>
    </w:p>
    <w:p w14:paraId="3AEC886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（六）施工单位项目经理及其他安全技术管理人员是否在施工现场进行监督，监理单位总监及其他监理人员是否在施工现场监管；</w:t>
      </w:r>
    </w:p>
    <w:p w14:paraId="60136B5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（七）认真填写施工管理日志，详细如实反映每日的工程施工情况及检查记录。</w:t>
      </w:r>
    </w:p>
    <w:p w14:paraId="7ED4D95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第六十七条</w:t>
      </w:r>
      <w:r>
        <w:rPr>
          <w:rFonts w:hint="eastAsia" w:ascii="仿宋_GB2312" w:hAnsi="宋体" w:eastAsia="仿宋_GB2312" w:cs="仿宋_GB2312"/>
          <w:bCs/>
          <w:sz w:val="32"/>
          <w:szCs w:val="32"/>
          <w:lang w:val="en-US" w:eastAsia="zh-CN"/>
        </w:rPr>
        <w:t xml:space="preserve"> 施工过程中发生安全事故，现场有关人员应立即向西北能化公司调度指挥中心汇报，西北能化公司启动应急救援预案，组织现场抢险救护，防止事故扩大。</w:t>
      </w:r>
    </w:p>
    <w:p w14:paraId="01EEA03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第六十八条</w:t>
      </w:r>
      <w:r>
        <w:rPr>
          <w:rFonts w:hint="eastAsia" w:ascii="仿宋_GB2312" w:hAnsi="宋体" w:eastAsia="仿宋_GB2312" w:cs="仿宋_GB2312"/>
          <w:bCs/>
          <w:sz w:val="32"/>
          <w:szCs w:val="32"/>
          <w:lang w:val="en-US" w:eastAsia="zh-CN"/>
        </w:rPr>
        <w:t xml:space="preserve"> 西北能化公司对项目实施单位的安全、环境管理，执行西北能化公司安全、环保管理相关规定。</w:t>
      </w:r>
    </w:p>
    <w:p w14:paraId="2694534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第三节 施工人员管理</w:t>
      </w:r>
    </w:p>
    <w:p w14:paraId="63B8028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第六十九条 </w:t>
      </w:r>
      <w:r>
        <w:rPr>
          <w:rFonts w:hint="eastAsia" w:ascii="仿宋_GB2312" w:hAnsi="宋体" w:eastAsia="仿宋_GB2312" w:cs="仿宋_GB2312"/>
          <w:bCs/>
          <w:sz w:val="32"/>
          <w:szCs w:val="32"/>
          <w:lang w:val="en-US" w:eastAsia="zh-CN"/>
        </w:rPr>
        <w:t>施工单位现场管理人员包括：项目经理、项目安全生产管理人员以及其他专业现场管理技术人员。在签订施工合同时，按投标文件承诺及在合同中约定该工程的管理团队。</w:t>
      </w:r>
    </w:p>
    <w:p w14:paraId="1F4367E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第七十条</w:t>
      </w:r>
      <w:r>
        <w:rPr>
          <w:rFonts w:hint="eastAsia" w:ascii="仿宋_GB2312" w:hAnsi="宋体" w:eastAsia="仿宋_GB2312" w:cs="仿宋_GB2312"/>
          <w:bCs/>
          <w:sz w:val="32"/>
          <w:szCs w:val="32"/>
          <w:lang w:val="en-US" w:eastAsia="zh-CN"/>
        </w:rPr>
        <w:t xml:space="preserve"> 落实项目经理责任制。项目经理是项目安全生产的第一责任人，对项目的安全生产全面负责。</w:t>
      </w:r>
    </w:p>
    <w:p w14:paraId="708EE7B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第七十一条</w:t>
      </w:r>
      <w:r>
        <w:rPr>
          <w:rFonts w:hint="eastAsia" w:ascii="仿宋_GB2312" w:hAnsi="宋体" w:eastAsia="仿宋_GB2312" w:cs="仿宋_GB2312"/>
          <w:bCs/>
          <w:sz w:val="32"/>
          <w:szCs w:val="32"/>
          <w:lang w:val="en-US" w:eastAsia="zh-CN"/>
        </w:rPr>
        <w:t xml:space="preserve"> 项目经理、专职安全管理人员和特种作业人员必须持证上岗。项目经理和专职安全管理人员的安全资格证书原件实行押证管理；特种作业人员（建筑电工、建筑架子工、建筑起重信号司索工、建筑起重机械司机、建筑起重机械安装拆卸工、高处作业吊篮安装拆卸工和经省级主管部门认定的其他特种作业人员）证书原件应存放现场以备查验，做到人、证相符。</w:t>
      </w:r>
    </w:p>
    <w:p w14:paraId="4180EDF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第七十二条 </w:t>
      </w:r>
      <w:r>
        <w:rPr>
          <w:rFonts w:hint="eastAsia" w:ascii="仿宋_GB2312" w:hAnsi="宋体" w:eastAsia="仿宋_GB2312" w:cs="仿宋_GB2312"/>
          <w:bCs/>
          <w:sz w:val="32"/>
          <w:szCs w:val="32"/>
          <w:lang w:val="en-US" w:eastAsia="zh-CN"/>
        </w:rPr>
        <w:t>建筑工人实行实名制管理制度。施工单位与招用的建筑工人应依法签订劳动合同或订立用工书面协议，对建筑工人进行基本安全培训，并在相关建筑工人实名制管理平台上登记后，方可允许其进入施工现场从事与建筑作业相关的活动。</w:t>
      </w:r>
    </w:p>
    <w:p w14:paraId="6E5FC07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第四节 监理管理</w:t>
      </w:r>
    </w:p>
    <w:p w14:paraId="7FD48CD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第七十三条 下列工程项目应实行监理</w:t>
      </w:r>
    </w:p>
    <w:p w14:paraId="1B4F163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（一）需政府部门核准或备案的工程项目； </w:t>
      </w:r>
    </w:p>
    <w:p w14:paraId="3585BF2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（二）安全改造中央预算内资金、安全生产专项资金项目中需外委施工的重大工程； </w:t>
      </w:r>
    </w:p>
    <w:p w14:paraId="0221ABD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（三）其他需要监理的工程项目。</w:t>
      </w:r>
    </w:p>
    <w:p w14:paraId="6316FCB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第七十四条 监理单位的主要责任</w:t>
      </w:r>
    </w:p>
    <w:p w14:paraId="58CF37A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（一）审查施工组织设计、施工技术方案、施工进度计划、 </w:t>
      </w:r>
    </w:p>
    <w:p w14:paraId="5D09F95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施工质量保证体系和安全保证体系，并监督实施； </w:t>
      </w:r>
    </w:p>
    <w:p w14:paraId="402CD9F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（二）抽查、核验工程使用的建筑材料、构配件及设备的数量和质量； </w:t>
      </w:r>
    </w:p>
    <w:p w14:paraId="390B3CB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（三）采取旁站、巡视、平行检验等方式监控工程实体质量； </w:t>
      </w:r>
    </w:p>
    <w:p w14:paraId="30A77B0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（四）隐蔽工程验收、监督检查工程质量； </w:t>
      </w:r>
    </w:p>
    <w:p w14:paraId="03AD0C9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（五）核查施工技术资料、参与建设工程的竣工验收； </w:t>
      </w:r>
    </w:p>
    <w:p w14:paraId="3D33D2E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（六）其他需要监理的内容。</w:t>
      </w:r>
    </w:p>
    <w:p w14:paraId="1D3C3BB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第七十五条 工程办对监理的管理</w:t>
      </w:r>
    </w:p>
    <w:p w14:paraId="190AE6E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（一）制定监理管理制度，对监理工作进行监督管理，督促监理单位，按要求组建项目监理机构，核查相关任命文件； </w:t>
      </w:r>
    </w:p>
    <w:p w14:paraId="2B7A0CD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（二）查验总监、总监代表（若配）、监理工程师的执业资格，并核查其是否承担本次监理工作之外的其他工作；</w:t>
      </w:r>
    </w:p>
    <w:p w14:paraId="25F2D1C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（三）检查监理规划的编制与审批程序；</w:t>
      </w:r>
    </w:p>
    <w:p w14:paraId="4C24F6E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（四）检查监理实施细则的编制内容及审批情况；</w:t>
      </w:r>
    </w:p>
    <w:p w14:paraId="677A958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（五）配备总监代表时，检查是否经监理单位法定代表人同意，检查总监对总监代表的授权是否超出范围；</w:t>
      </w:r>
    </w:p>
    <w:p w14:paraId="3FACDAC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（六）负责对总监、监理工程师考勤，不按时出勤的，依据合同约定视违约情况扣减监理费用，对不能胜任监理工作的，要求监理单位及时更换，因监理原因造成经济损失的，应依据合同向监理单位索赔；</w:t>
      </w:r>
    </w:p>
    <w:p w14:paraId="303B45D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（七）检查监理日志、监理月报、工程质量评价报告和工程监理工作总结；</w:t>
      </w:r>
    </w:p>
    <w:p w14:paraId="50CD532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（八）检查是否按规定履行总监变更程序，更换后的总监不低于原投标时总监的资质。</w:t>
      </w:r>
    </w:p>
    <w:p w14:paraId="417F121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第七十六条</w:t>
      </w:r>
      <w:r>
        <w:rPr>
          <w:rFonts w:hint="eastAsia" w:ascii="仿宋_GB2312" w:hAnsi="宋体" w:eastAsia="仿宋_GB2312" w:cs="仿宋_GB2312"/>
          <w:bCs/>
          <w:sz w:val="32"/>
          <w:szCs w:val="32"/>
          <w:lang w:val="en-US" w:eastAsia="zh-CN"/>
        </w:rPr>
        <w:t xml:space="preserve"> 监理单位应当按照下列程序实施工程建设监理：</w:t>
      </w:r>
    </w:p>
    <w:p w14:paraId="0B4BBBA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（一）组建监理机构，确定监理人员，编制工程建设监理规划并提交项目实施单位；</w:t>
      </w:r>
    </w:p>
    <w:p w14:paraId="2EC3FF1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（二）按照工程建设进度分专业编制工程建设监理细则；</w:t>
      </w:r>
    </w:p>
    <w:p w14:paraId="74CF9E3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（三）按照监理细则进行建设监理；</w:t>
      </w:r>
    </w:p>
    <w:p w14:paraId="400A9DF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（四）参与工程竣工验收，编制建设监理总结；</w:t>
      </w:r>
    </w:p>
    <w:p w14:paraId="1E13BFF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（五）建设监理业务完成后，向项目实施单位提交工程建设监理档案资料。</w:t>
      </w:r>
    </w:p>
    <w:p w14:paraId="5FD1D72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第七十七条</w:t>
      </w:r>
      <w:r>
        <w:rPr>
          <w:rFonts w:hint="eastAsia" w:ascii="仿宋_GB2312" w:hAnsi="宋体" w:eastAsia="仿宋_GB2312" w:cs="仿宋_GB2312"/>
          <w:bCs/>
          <w:sz w:val="32"/>
          <w:szCs w:val="32"/>
          <w:lang w:val="en-US" w:eastAsia="zh-CN"/>
        </w:rPr>
        <w:t xml:space="preserve"> 工程项目实施监理前，工程办应当将委托的监理单位、监理内容、总监理工程师姓名及所赋予的权限，书面通知被监理单位。总监理工程师应当将其监理机构组成人员姓名及授予监理工程师的权限等事项，书面通知被监理单位。 </w:t>
      </w:r>
    </w:p>
    <w:p w14:paraId="0A8F1CB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第七十八条</w:t>
      </w:r>
      <w:r>
        <w:rPr>
          <w:rFonts w:hint="eastAsia" w:ascii="仿宋_GB2312" w:hAnsi="宋体" w:eastAsia="仿宋_GB2312" w:cs="仿宋_GB2312"/>
          <w:bCs/>
          <w:sz w:val="32"/>
          <w:szCs w:val="32"/>
          <w:lang w:val="en-US" w:eastAsia="zh-CN"/>
        </w:rPr>
        <w:t xml:space="preserve"> 工程建设监理过程中，施工单位应当按照与西北能化公司签订的工程建设合同规定接受监理单位监督管理，按照监理单位的要求及时提供必要的资料。</w:t>
      </w:r>
    </w:p>
    <w:p w14:paraId="5C20BAF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第七十九条</w:t>
      </w:r>
      <w:r>
        <w:rPr>
          <w:rFonts w:hint="eastAsia" w:ascii="仿宋_GB2312" w:hAnsi="宋体" w:eastAsia="仿宋_GB2312" w:cs="仿宋_GB2312"/>
          <w:bCs/>
          <w:sz w:val="32"/>
          <w:szCs w:val="32"/>
          <w:lang w:val="en-US" w:eastAsia="zh-CN"/>
        </w:rPr>
        <w:t xml:space="preserve"> 监理工程师发现工程设计不符合工程建设质量标准、设计规范或者合同约定的质量要求时，应当报告西北能化公司要求设计单位改正。</w:t>
      </w:r>
    </w:p>
    <w:p w14:paraId="0C09B9A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监理工程师认为工程施工不符合工程设计要求、施工技术标 准或者合同约定的，有权要求施工单位改正，并出具书面通知。</w:t>
      </w:r>
    </w:p>
    <w:p w14:paraId="6DD88E0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第八十条</w:t>
      </w:r>
      <w:r>
        <w:rPr>
          <w:rFonts w:hint="eastAsia" w:ascii="仿宋_GB2312" w:hAnsi="宋体" w:eastAsia="仿宋_GB2312" w:cs="仿宋_GB2312"/>
          <w:bCs/>
          <w:sz w:val="32"/>
          <w:szCs w:val="32"/>
          <w:lang w:val="en-US" w:eastAsia="zh-CN"/>
        </w:rPr>
        <w:t xml:space="preserve"> 监理单位应对建设工程关键部位或关键工序等实行旁站管理。</w:t>
      </w:r>
    </w:p>
    <w:p w14:paraId="24CE250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旁站管理的范围：涉及建设工程结构安全的地基基础、主体结构和设备安装工程的关键部位和工序；隐蔽工程的隐蔽过程；建筑材料的见证取样、送样；新技术、新工艺、新材料、新设备实验过程；建设工程委托管理合同规定的应旁站管理的部位和工序；</w:t>
      </w:r>
    </w:p>
    <w:p w14:paraId="35A89D4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（二）监理单位应组织编制旁站管理方案，明确旁站管理人员及职责、工作内容和程序、需旁站的工程部位、工序，同时通知施工单位；</w:t>
      </w:r>
    </w:p>
    <w:p w14:paraId="226B67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（三）对需要旁站管理的部位和工序，施工单位应在施工前24小时书面通知项目单位，项目实施单位或监理单位应根据旁站管理工作方案安排旁站管理人员在预定的时间内到达施工现场。</w:t>
      </w:r>
    </w:p>
    <w:p w14:paraId="34D08B4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第八十一条</w:t>
      </w:r>
      <w:r>
        <w:rPr>
          <w:rFonts w:hint="eastAsia" w:ascii="仿宋_GB2312" w:hAnsi="宋体" w:eastAsia="仿宋_GB2312" w:cs="仿宋_GB2312"/>
          <w:bCs/>
          <w:sz w:val="32"/>
          <w:szCs w:val="32"/>
          <w:lang w:val="en-US" w:eastAsia="zh-CN"/>
        </w:rPr>
        <w:t xml:space="preserve"> 监理单位应督促施工单位根据工程的特点和施工合同规定的工期要求编制施工总进度计划。总监理工程师负责批准实施，并制定相应的进度控制措施。</w:t>
      </w:r>
    </w:p>
    <w:p w14:paraId="33B96D2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第八十二条</w:t>
      </w:r>
      <w:r>
        <w:rPr>
          <w:rFonts w:hint="eastAsia" w:ascii="仿宋_GB2312" w:hAnsi="宋体" w:eastAsia="仿宋_GB2312" w:cs="仿宋_GB2312"/>
          <w:bCs/>
          <w:sz w:val="32"/>
          <w:szCs w:val="32"/>
          <w:lang w:val="en-US" w:eastAsia="zh-CN"/>
        </w:rPr>
        <w:t xml:space="preserve"> 总监理工程师应当组织专业监理工程师及时审查施工单位报送的施工进度计划，并对进度计划签署意见后报送项目单位。未聘请监理的，由项目单位负责人负责组织审查。</w:t>
      </w:r>
    </w:p>
    <w:p w14:paraId="49BC38F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第八十三条</w:t>
      </w:r>
      <w:r>
        <w:rPr>
          <w:rFonts w:hint="eastAsia" w:ascii="仿宋_GB2312" w:hAnsi="宋体" w:eastAsia="仿宋_GB2312" w:cs="仿宋_GB2312"/>
          <w:bCs/>
          <w:sz w:val="32"/>
          <w:szCs w:val="32"/>
          <w:lang w:val="en-US" w:eastAsia="zh-CN"/>
        </w:rPr>
        <w:t xml:space="preserve"> 监理单位对进度计划的实施情况特别是关键线路的实施情况应实时跟踪检查，及时记录实际进度情况，若发现实际进度偏离计划要求时，应通过例会、专题会、监理通知等手段及时督促相关单位采取相应的改进措施。</w:t>
      </w:r>
    </w:p>
    <w:p w14:paraId="6BF1860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第八十四条</w:t>
      </w:r>
      <w:r>
        <w:rPr>
          <w:rFonts w:hint="eastAsia" w:ascii="仿宋_GB2312" w:hAnsi="宋体" w:eastAsia="仿宋_GB2312" w:cs="仿宋_GB2312"/>
          <w:bCs/>
          <w:sz w:val="32"/>
          <w:szCs w:val="32"/>
          <w:lang w:val="en-US" w:eastAsia="zh-CN"/>
        </w:rPr>
        <w:t xml:space="preserve"> 监理单位按要求如实记录监理日志，项目单位应及时收集整理有关影响工程进度方面的资料，为公正合理处理工程延期问题提供依据。</w:t>
      </w:r>
    </w:p>
    <w:p w14:paraId="2C5EEDB6">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rPr>
      </w:pPr>
      <w:r>
        <w:rPr>
          <w:rFonts w:hint="eastAsia" w:ascii="Arial" w:hAnsi="Arial" w:eastAsia="黑体"/>
          <w:b w:val="0"/>
          <w:bCs/>
          <w:sz w:val="32"/>
          <w:lang w:val="en-US" w:eastAsia="zh-CN"/>
        </w:rPr>
        <w:t>第六章 进度控制</w:t>
      </w:r>
    </w:p>
    <w:p w14:paraId="6B65D49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第一节 开工管理</w:t>
      </w:r>
    </w:p>
    <w:p w14:paraId="23BED93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第八十五条</w:t>
      </w:r>
      <w:r>
        <w:rPr>
          <w:rFonts w:hint="eastAsia" w:ascii="仿宋_GB2312" w:hAnsi="宋体" w:eastAsia="仿宋_GB2312" w:cs="仿宋_GB2312"/>
          <w:bCs/>
          <w:sz w:val="32"/>
          <w:szCs w:val="32"/>
          <w:lang w:val="en-US" w:eastAsia="zh-CN"/>
        </w:rPr>
        <w:t xml:space="preserve"> 工程项目在完成建设相关手续的审批，签订工程合同、安全协议，组织施工图纸的审查交底，完成施工组织设计的审批，在施工现场满足开工条件（三通一平）后办理开工报告，组织工程开工。工程开工实行开工申请分级审批制度，批准后方可组织施工。</w:t>
      </w:r>
    </w:p>
    <w:p w14:paraId="2A5C328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（一）合同金额 1000 万元以下的土建工程和 500万元以下的安装工程，施工单位编报开工报审表，实行监理的，须经总监理工程师批准、加盖公章，报项目实施单位分管领导签字、加盖公章生效；</w:t>
      </w:r>
    </w:p>
    <w:p w14:paraId="62AD7A5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（二）合同金额 1000 万元以上的土建工程，500 万元以上的安装工程，由项目实施单位分管领导签批报公司总经理审核审批、加盖公章生效，后经公司工程办7日内通过工程管理系统上传报集团公司安全监察局、资产财务部、规划发展部及相关专业部门会审批准（详见附件 1《工程开工申请表》）；</w:t>
      </w:r>
    </w:p>
    <w:p w14:paraId="45EA601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（三）需集团公司向省级及以上政府部门申请开工备案的项目，项目实施单位在项目基本具备开工条件后，行文上报规划发展部审查，经集团公司领导小组组长或副组长同意后，行文上报政府部门。</w:t>
      </w:r>
    </w:p>
    <w:p w14:paraId="502696F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其他工程项目，由项目实施单位根据安全生产需要，编排实施计划，控制工程进度。</w:t>
      </w:r>
    </w:p>
    <w:p w14:paraId="1A7FB4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第八十六条</w:t>
      </w:r>
      <w:r>
        <w:rPr>
          <w:rFonts w:hint="eastAsia" w:ascii="仿宋_GB2312" w:hAnsi="宋体" w:eastAsia="仿宋_GB2312" w:cs="仿宋_GB2312"/>
          <w:bCs/>
          <w:sz w:val="32"/>
          <w:szCs w:val="32"/>
          <w:lang w:val="en-US" w:eastAsia="zh-CN"/>
        </w:rPr>
        <w:t xml:space="preserve"> 工程开工须满足以下条件：</w:t>
      </w:r>
    </w:p>
    <w:p w14:paraId="721BC1A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（一）符合国家相关要求；</w:t>
      </w:r>
    </w:p>
    <w:p w14:paraId="76AFD00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（二）已列入年度工程计划；</w:t>
      </w:r>
    </w:p>
    <w:p w14:paraId="14259EF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（三）工程施工承包合同、安全协议已经签订，安全培训已完成；</w:t>
      </w:r>
    </w:p>
    <w:p w14:paraId="3A610BE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（四）施工图设计已经审查，并进行了现场交底，能满足施工需要；</w:t>
      </w:r>
    </w:p>
    <w:p w14:paraId="3F86FDC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（五）单位工程施工组织设计及施工安全技术措施已经编制完成并经审批；</w:t>
      </w:r>
    </w:p>
    <w:p w14:paraId="2F52A60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（六）工程场地环境满足施工需要；</w:t>
      </w:r>
    </w:p>
    <w:p w14:paraId="2BC0161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（七）应具备的其他条件。</w:t>
      </w:r>
    </w:p>
    <w:p w14:paraId="33085FA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第二节 进度管理</w:t>
      </w:r>
    </w:p>
    <w:p w14:paraId="51D26D1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第八十七条</w:t>
      </w:r>
      <w:r>
        <w:rPr>
          <w:rFonts w:hint="eastAsia" w:ascii="仿宋_GB2312" w:hAnsi="宋体" w:eastAsia="仿宋_GB2312" w:cs="仿宋_GB2312"/>
          <w:bCs/>
          <w:sz w:val="32"/>
          <w:szCs w:val="32"/>
          <w:lang w:val="en-US" w:eastAsia="zh-CN"/>
        </w:rPr>
        <w:t xml:space="preserve"> 项目实施单位应依据实施计划，做好工程项目的设计、招标、合同签订等相关工作，制定项目进度控制措施。按合同约定，要求施工单位编制施工进度计划（包括施工总进度计划、年度进度计划、季度进度计划、月度进度计划等分级进度计划），确定工作内容、工作顺序、起止时间和衔接关系，控制实施进度。</w:t>
      </w:r>
    </w:p>
    <w:p w14:paraId="00C5B3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第八十八条</w:t>
      </w:r>
      <w:r>
        <w:rPr>
          <w:rFonts w:hint="eastAsia" w:ascii="仿宋_GB2312" w:hAnsi="宋体" w:eastAsia="仿宋_GB2312" w:cs="仿宋_GB2312"/>
          <w:bCs/>
          <w:sz w:val="32"/>
          <w:szCs w:val="32"/>
          <w:lang w:val="en-US" w:eastAsia="zh-CN"/>
        </w:rPr>
        <w:t xml:space="preserve"> 项目实施单位、监理单位负责检查和监督进度计划的实施，定期（月、旬、周）和不定期召开现场进度协调会议。</w:t>
      </w:r>
    </w:p>
    <w:p w14:paraId="302C5F4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第八十九条</w:t>
      </w:r>
      <w:r>
        <w:rPr>
          <w:rFonts w:hint="eastAsia" w:ascii="仿宋_GB2312" w:hAnsi="宋体" w:eastAsia="仿宋_GB2312" w:cs="仿宋_GB2312"/>
          <w:bCs/>
          <w:sz w:val="32"/>
          <w:szCs w:val="32"/>
          <w:lang w:val="en-US" w:eastAsia="zh-CN"/>
        </w:rPr>
        <w:t xml:space="preserve"> 工程项目进度计划制定后，未经批准不得调整。若项目建设期间发生因不可控制因素或项目单位原因导致进度变化的，施工单位提出申请，项目实施单位、监理单位组织审查确认。工期顺延应在发生可顺延因素后 7 天内办理完成。发生工期延误的，项目实施单位应会同监理单位、施工单位按合同约定，及时办理工期相关手续。</w:t>
      </w:r>
    </w:p>
    <w:p w14:paraId="25B2B06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第九十条</w:t>
      </w:r>
      <w:r>
        <w:rPr>
          <w:rFonts w:hint="eastAsia" w:ascii="仿宋_GB2312" w:hAnsi="宋体" w:eastAsia="仿宋_GB2312" w:cs="仿宋_GB2312"/>
          <w:bCs/>
          <w:sz w:val="32"/>
          <w:szCs w:val="32"/>
          <w:lang w:val="en-US" w:eastAsia="zh-CN"/>
        </w:rPr>
        <w:t xml:space="preserve"> 对年度计划的重点关注工程项目，工程建设工期滞后时，项目实施单位应分析原因，制定相应措施，保证实现工期目标。工程办按职责权限对工程进度进行督促，对计划的完成情况进行监管。</w:t>
      </w:r>
    </w:p>
    <w:p w14:paraId="1DDBB95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第三节 工程合同管理</w:t>
      </w:r>
    </w:p>
    <w:p w14:paraId="6FF52E6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第九十一条 项目实施单位根据招投标文件、图纸、施工方案等与合同有关的资料，编制合同文本，组织相关部门进行合同会审会签。项目实施单位</w:t>
      </w:r>
      <w:r>
        <w:rPr>
          <w:rFonts w:hint="eastAsia" w:ascii="仿宋_GB2312" w:hAnsi="宋体" w:eastAsia="仿宋_GB2312" w:cs="仿宋_GB2312"/>
          <w:bCs/>
          <w:sz w:val="32"/>
          <w:szCs w:val="32"/>
          <w:lang w:val="zh-CN" w:eastAsia="zh-CN"/>
        </w:rPr>
        <w:t>签订合同时，必须约定保障农民工工资支付的条款。</w:t>
      </w:r>
    </w:p>
    <w:p w14:paraId="13E9F2C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第九十二条 项目实施单位须将所有工程合同在开工前上传工程项目管理系统备案。对合同标的额在500万元以上的工程合同必须经集团公司审查。</w:t>
      </w:r>
    </w:p>
    <w:p w14:paraId="1EA65A6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第九十三条 其他未尽事宜执行公司合同管理相关规定。</w:t>
      </w:r>
    </w:p>
    <w:p w14:paraId="626ACA4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第四节 竣工验收</w:t>
      </w:r>
    </w:p>
    <w:p w14:paraId="489FE7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第九十四条</w:t>
      </w:r>
      <w:r>
        <w:rPr>
          <w:rFonts w:hint="eastAsia" w:ascii="仿宋_GB2312" w:hAnsi="宋体" w:eastAsia="仿宋_GB2312" w:cs="仿宋_GB2312"/>
          <w:bCs/>
          <w:sz w:val="32"/>
          <w:szCs w:val="32"/>
          <w:lang w:val="en-US" w:eastAsia="zh-CN"/>
        </w:rPr>
        <w:t xml:space="preserve"> 工程竣工验收按照工程投资规模，实行分级负责。</w:t>
      </w:r>
    </w:p>
    <w:p w14:paraId="5DB5086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依法必招的、专项补助资金及重点关注工程项目由项目实施单位报集团公司验收；依法必招限额以下的工程项目由项目实施单位负责组织验收。</w:t>
      </w:r>
    </w:p>
    <w:p w14:paraId="373FADD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第九十五条</w:t>
      </w:r>
      <w:r>
        <w:rPr>
          <w:rFonts w:hint="eastAsia" w:ascii="仿宋_GB2312" w:hAnsi="宋体" w:eastAsia="仿宋_GB2312" w:cs="仿宋_GB2312"/>
          <w:bCs/>
          <w:sz w:val="32"/>
          <w:szCs w:val="32"/>
          <w:lang w:val="en-US" w:eastAsia="zh-CN"/>
        </w:rPr>
        <w:t xml:space="preserve"> 工程项目竣工验收依据：工程合同；适用项目建设的相关法律法规、标准和规范；集团公司相关规定；工程项目设计文件等。</w:t>
      </w:r>
    </w:p>
    <w:p w14:paraId="0337EC2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第九十六条</w:t>
      </w:r>
      <w:r>
        <w:rPr>
          <w:rFonts w:hint="eastAsia" w:ascii="仿宋_GB2312" w:hAnsi="宋体" w:eastAsia="仿宋_GB2312" w:cs="仿宋_GB2312"/>
          <w:bCs/>
          <w:sz w:val="32"/>
          <w:szCs w:val="32"/>
          <w:lang w:val="en-US" w:eastAsia="zh-CN"/>
        </w:rPr>
        <w:t xml:space="preserve"> 工程项目竣工验收条件</w:t>
      </w:r>
    </w:p>
    <w:p w14:paraId="62A6408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（一）完成建设工程设计和合同约定的各项内容；</w:t>
      </w:r>
    </w:p>
    <w:p w14:paraId="223AFF0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（二）施工单位对工程质量进行了检查，提交了经项目经理和施工单位负责人签署的工程竣工报告；</w:t>
      </w:r>
    </w:p>
    <w:p w14:paraId="1CB3D91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（三）委托监理的工程，监理单位出具了工程质量评估报告，未实行监理的，项目单位出具工程质量评估报告；</w:t>
      </w:r>
    </w:p>
    <w:p w14:paraId="2FD4A50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（四）有勘察、设计单位签署的质量检查报告；</w:t>
      </w:r>
    </w:p>
    <w:p w14:paraId="0990EEA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（五）有完整的技术档案和施工管理资料；</w:t>
      </w:r>
    </w:p>
    <w:p w14:paraId="23CCA2F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（六）有工程使用的主要建筑材料、建筑构配件和设备的进场试验报告；</w:t>
      </w:r>
    </w:p>
    <w:p w14:paraId="5B87A7A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（七）有施工单位签署的工程质量保修书；</w:t>
      </w:r>
    </w:p>
    <w:p w14:paraId="48713C2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（八）其他相关文件。</w:t>
      </w:r>
    </w:p>
    <w:p w14:paraId="185B48C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第九十七条 </w:t>
      </w:r>
      <w:r>
        <w:rPr>
          <w:rFonts w:hint="eastAsia" w:ascii="仿宋_GB2312" w:hAnsi="宋体" w:eastAsia="仿宋_GB2312" w:cs="仿宋_GB2312"/>
          <w:bCs/>
          <w:sz w:val="32"/>
          <w:szCs w:val="32"/>
          <w:lang w:val="en-US" w:eastAsia="zh-CN"/>
        </w:rPr>
        <w:t>工程项目验收：分自验、初验、竣工验收三个阶段。</w:t>
      </w:r>
    </w:p>
    <w:p w14:paraId="221CFDC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（一）自验</w:t>
      </w:r>
    </w:p>
    <w:p w14:paraId="08C1F98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工程项目完工后，施工单位对工程质量和工程资料进行检查，确认符合设计文件及合同要求后，向项目实施单位提交工程竣工报告，申请工程竣工验收。实行监理的工程，工程竣工报告须经总监理工程师签署意见。</w:t>
      </w:r>
    </w:p>
    <w:p w14:paraId="6AF7A79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（二）初验</w:t>
      </w:r>
    </w:p>
    <w:p w14:paraId="615B4AD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需集团公司组织验收的工程由项目实施单位组织初验。初验合格后，工程办向集团公司申请竣工验收。</w:t>
      </w:r>
    </w:p>
    <w:p w14:paraId="3D3F895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Cs/>
          <w:sz w:val="32"/>
          <w:szCs w:val="32"/>
          <w:lang w:val="en-US" w:eastAsia="zh-CN"/>
        </w:rPr>
      </w:pPr>
      <w:r>
        <w:rPr>
          <w:rFonts w:hint="eastAsia" w:ascii="楷体_GB2312" w:hAnsi="楷体_GB2312" w:eastAsia="楷体_GB2312" w:cs="楷体_GB2312"/>
          <w:bCs/>
          <w:sz w:val="32"/>
          <w:szCs w:val="32"/>
          <w:lang w:val="en-US" w:eastAsia="zh-CN"/>
        </w:rPr>
        <w:t>（三）竣工验收</w:t>
      </w:r>
    </w:p>
    <w:p w14:paraId="6E4FD24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由西北能化公司负责竣工验收的工程，由项目实施单位组织初验，初验合格后，由工程办组织勘察、设计、施工、监理单位进行竣工验收。由集团公司负责竣工验收的工程，工程办向集团公司申请竣工验收。</w:t>
      </w:r>
    </w:p>
    <w:p w14:paraId="08AC04E9">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第七章 零星工程管理</w:t>
      </w:r>
    </w:p>
    <w:p w14:paraId="7A42CAB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第九十八条</w:t>
      </w:r>
      <w:r>
        <w:rPr>
          <w:rFonts w:hint="eastAsia" w:ascii="仿宋_GB2312" w:hAnsi="宋体" w:eastAsia="仿宋_GB2312" w:cs="仿宋_GB2312"/>
          <w:bCs/>
          <w:sz w:val="32"/>
          <w:szCs w:val="32"/>
          <w:lang w:val="en-US" w:eastAsia="zh-CN"/>
        </w:rPr>
        <w:t xml:space="preserve"> 零星工程涵盖厂区防腐保温、脚手架、零星土建、锅炉喷涂、锅炉浇注料、气化炉炉砖安拆、管道设备清洗工程。涉及食堂烟道清理、化粪池清理、卫生间便池疏通等后勤工作一律不在零星工程范围内。</w:t>
      </w:r>
    </w:p>
    <w:p w14:paraId="28B53FF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所有零星施工项目必须有请示报告。</w:t>
      </w:r>
    </w:p>
    <w:p w14:paraId="2AA7763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第九十九条</w:t>
      </w:r>
      <w:r>
        <w:rPr>
          <w:rFonts w:hint="eastAsia" w:ascii="仿宋_GB2312" w:hAnsi="宋体" w:eastAsia="仿宋_GB2312" w:cs="仿宋_GB2312"/>
          <w:bCs/>
          <w:sz w:val="32"/>
          <w:szCs w:val="32"/>
          <w:lang w:val="en-US" w:eastAsia="zh-CN"/>
        </w:rPr>
        <w:t xml:space="preserve"> 现场勘察。在零星工程联系单下发前，工程办组织相关部门或属地车间、施工单位，依据报告勘查现场，确定工程量，由项目实施单位或施工单位提出安全施工方案，审核后下达施工联系单。</w:t>
      </w:r>
    </w:p>
    <w:p w14:paraId="66377F9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第一百条</w:t>
      </w:r>
      <w:r>
        <w:rPr>
          <w:rFonts w:hint="eastAsia" w:ascii="仿宋_GB2312" w:hAnsi="宋体" w:eastAsia="仿宋_GB2312" w:cs="仿宋_GB2312"/>
          <w:bCs/>
          <w:sz w:val="32"/>
          <w:szCs w:val="32"/>
          <w:lang w:val="en-US" w:eastAsia="zh-CN"/>
        </w:rPr>
        <w:t xml:space="preserve"> 施工联系单。原则上一报告一施工联系单，或因同类型作业，可能多报告一施工联系单；对所有审批报告与施工联系单统一编号、存档（包括电子台账、纸质版）。一报告多项工程量，工程量明细由属地单位分管领导签字确认。</w:t>
      </w:r>
    </w:p>
    <w:p w14:paraId="6F9CE4F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第一百零一条</w:t>
      </w:r>
      <w:r>
        <w:rPr>
          <w:rFonts w:hint="eastAsia" w:ascii="仿宋_GB2312" w:hAnsi="宋体" w:eastAsia="仿宋_GB2312" w:cs="仿宋_GB2312"/>
          <w:bCs/>
          <w:sz w:val="32"/>
          <w:szCs w:val="32"/>
          <w:lang w:val="en-US" w:eastAsia="zh-CN"/>
        </w:rPr>
        <w:t xml:space="preserve"> 材料进场验收。材料进场后，工程办组织属地车间检验材料的品牌、型号、规格、数量、质量和外观，核查材料出场验收记录、质量保证书等；根据材料现场检验核查的实际情况如实填写材料进场验收记录表。</w:t>
      </w:r>
    </w:p>
    <w:p w14:paraId="6981575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第一百零二条</w:t>
      </w:r>
      <w:r>
        <w:rPr>
          <w:rFonts w:hint="eastAsia" w:ascii="仿宋_GB2312" w:hAnsi="宋体" w:eastAsia="仿宋_GB2312" w:cs="仿宋_GB2312"/>
          <w:bCs/>
          <w:sz w:val="32"/>
          <w:szCs w:val="32"/>
          <w:lang w:val="en-US" w:eastAsia="zh-CN"/>
        </w:rPr>
        <w:t xml:space="preserve"> 隐蔽工程验收。施工单位提出申请，由工程办组织属地车间、施工单位进行质量验收，对验收不合格的下发整改通知单，并监督施工单位按时整改。隐蔽工程验收不合格的严禁进行下一道工序的施工。施工单位未按要求提出隐蔽工程验收申请直接进入下一道工序施工的，立即下发整改通知并按合同约定处罚。</w:t>
      </w:r>
    </w:p>
    <w:p w14:paraId="684AE48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第一百零三条</w:t>
      </w:r>
      <w:r>
        <w:rPr>
          <w:rFonts w:hint="eastAsia" w:ascii="仿宋_GB2312" w:hAnsi="宋体" w:eastAsia="仿宋_GB2312" w:cs="仿宋_GB2312"/>
          <w:bCs/>
          <w:sz w:val="32"/>
          <w:szCs w:val="32"/>
          <w:lang w:val="en-US" w:eastAsia="zh-CN"/>
        </w:rPr>
        <w:t xml:space="preserve"> 竣工验收。工程完工后，由施工单位向工程办提出申请，由工程办组织工程项目属地单位、施工单位共同验收。原则上工程完工一个验收一个，现场确定工程量工程内容并做好记录，整理后及时完成验收单的签字手续；零星工程未经验收，不得拆除。</w:t>
      </w:r>
    </w:p>
    <w:p w14:paraId="5B4B2D7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第一百零四条</w:t>
      </w:r>
      <w:r>
        <w:rPr>
          <w:rFonts w:hint="eastAsia" w:ascii="仿宋_GB2312" w:hAnsi="宋体" w:eastAsia="仿宋_GB2312" w:cs="仿宋_GB2312"/>
          <w:bCs/>
          <w:sz w:val="32"/>
          <w:szCs w:val="32"/>
          <w:lang w:val="en-US" w:eastAsia="zh-CN"/>
        </w:rPr>
        <w:t xml:space="preserve"> 材料价格。施工单位采购的工程材料价格必须经过甲方审批确认，当地建设行政主管部门发布的信息价有的材料执行信息价，信息价没有的材料，工程办组织工程管理人员、采购部门、财务等相关部门市场考察调研，出具考察报告并签字确认。</w:t>
      </w:r>
    </w:p>
    <w:p w14:paraId="32A0CEA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第一百零五条</w:t>
      </w:r>
      <w:r>
        <w:rPr>
          <w:rFonts w:hint="eastAsia" w:ascii="仿宋_GB2312" w:hAnsi="宋体" w:eastAsia="仿宋_GB2312" w:cs="仿宋_GB2312"/>
          <w:bCs/>
          <w:sz w:val="32"/>
          <w:szCs w:val="32"/>
          <w:lang w:val="en-US" w:eastAsia="zh-CN"/>
        </w:rPr>
        <w:t xml:space="preserve"> 工程</w:t>
      </w:r>
      <w:r>
        <w:rPr>
          <w:rFonts w:hint="eastAsia" w:ascii="仿宋_GB2312" w:hAnsi="宋体" w:eastAsia="仿宋_GB2312" w:cs="仿宋_GB2312"/>
          <w:bCs/>
          <w:sz w:val="32"/>
          <w:szCs w:val="32"/>
          <w:lang w:val="en-US" w:eastAsia="zh-CN"/>
        </w:rPr>
        <w:t>结算。工程结算资料必须齐全，包括：工程合同、招投标文件、中标承诺；开工报告、隐蔽工程验收记录、竣工验收证书；施工图、图纸会审记录、竣工图；设计变更、检查验收记录；施工组织设计和技术安全措施；工作联系单、工程现场签证单、工程材料价格审批表等工程相关资料。费用标准执行2017序列《内蒙古自治区建设工程费用定额》（含2021版修缮定额），在规定的费率标准内计取。综合工资单价最高限额执行人工土方工98.02元/工日，一般建筑工112.35元/工日，装饰工127.05元/工日，安装工114.89元/工日。</w:t>
      </w:r>
    </w:p>
    <w:p w14:paraId="3BB34EE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零星工程、小型工程原则上当年工程当年结算，工程按“竣工一个、验收一个、结算一个”。签订年承包合同的施工单位工程款支付按季度工程进度审批款的80%支付。施工单位在工程验收后三个月内完成工程结算的报送。</w:t>
      </w:r>
    </w:p>
    <w:p w14:paraId="415FA7E0">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第八章 相关管理</w:t>
      </w:r>
    </w:p>
    <w:p w14:paraId="2D0C62A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第一节 工程款支付</w:t>
      </w:r>
    </w:p>
    <w:p w14:paraId="069B7A9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第一百零六条</w:t>
      </w:r>
      <w:r>
        <w:rPr>
          <w:rFonts w:hint="eastAsia" w:ascii="仿宋_GB2312" w:hAnsi="宋体" w:eastAsia="仿宋_GB2312" w:cs="仿宋_GB2312"/>
          <w:bCs/>
          <w:sz w:val="32"/>
          <w:szCs w:val="32"/>
          <w:lang w:val="en-US" w:eastAsia="zh-CN"/>
        </w:rPr>
        <w:t xml:space="preserve"> 工程办是工程款支付的责任主体。</w:t>
      </w:r>
    </w:p>
    <w:p w14:paraId="297BBDC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第一百零七条</w:t>
      </w:r>
      <w:r>
        <w:rPr>
          <w:rFonts w:hint="eastAsia" w:ascii="仿宋_GB2312" w:hAnsi="宋体" w:eastAsia="仿宋_GB2312" w:cs="仿宋_GB2312"/>
          <w:bCs/>
          <w:sz w:val="32"/>
          <w:szCs w:val="32"/>
          <w:lang w:val="en-US" w:eastAsia="zh-CN"/>
        </w:rPr>
        <w:t xml:space="preserve"> 工程款包括预付款、进度款、结算款、质量保证金。</w:t>
      </w:r>
    </w:p>
    <w:p w14:paraId="1116387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一般情况下，不支付工程预付款。</w:t>
      </w:r>
    </w:p>
    <w:p w14:paraId="7674EB4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涉及抢险救灾、采用不可替代的专利或者专有技术、进口设备等确需支付的，项目实施单位通过预排资金计划上报分管领导审核，审核通过后报财务部汇总报总经理办公会，经总经理办公会审批通过，按照资金计划支付工程预付款。工程实行预付款的，合同双方应根据合同通用条款及价款结算办法的有关规定，在合同专用条款中约定支付工程进度款时扣回预付款的比例和时间。工程预付款不超过合同价30%，承包单位须提供银行保函等担保方式。</w:t>
      </w:r>
    </w:p>
    <w:p w14:paraId="3136DD1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工程进度款应依据工程进度划线和经审核的进度预算进行支付。工程划线的形象进度必须与当期实际进度相符。</w:t>
      </w:r>
    </w:p>
    <w:p w14:paraId="722D326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工程完工后，达到合同约定支付比例后，不再进度划线，待工程审计后，按合同约定支付工程尾款。扣留的质量保证金待质保期满后支付。</w:t>
      </w:r>
    </w:p>
    <w:p w14:paraId="37A87AE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质保期满后，按国家相关规定返还质量保证金前，工程办应组织工程质量（竣工）验收。经验收合格后，且工程所有的档案资料已按规定向综合部移交，方可返还质量保证金。</w:t>
      </w:r>
    </w:p>
    <w:p w14:paraId="6CF1AC2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工程进度款支付按照工程办</w:t>
      </w:r>
      <w:r>
        <w:rPr>
          <w:rFonts w:hint="eastAsia" w:ascii="仿宋_GB2312" w:hAnsi="宋体" w:eastAsia="仿宋_GB2312" w:cs="仿宋_GB2312"/>
          <w:bCs/>
          <w:sz w:val="32"/>
          <w:szCs w:val="32"/>
          <w:lang w:val="en-US" w:eastAsia="zh-CN"/>
        </w:rPr>
        <w:t>初审金额的80%支付进度款。待集团审计部审计结束，扣除质保金，付清剩余工程款。支付须经项目实施单位负责人签字，分管领导审核，公司总经理、党委书记审批后财务方可支付。</w:t>
      </w:r>
    </w:p>
    <w:p w14:paraId="679236E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第一百零八条</w:t>
      </w:r>
      <w:r>
        <w:rPr>
          <w:rFonts w:hint="eastAsia" w:ascii="仿宋_GB2312" w:hAnsi="宋体" w:eastAsia="仿宋_GB2312" w:cs="仿宋_GB2312"/>
          <w:bCs/>
          <w:sz w:val="32"/>
          <w:szCs w:val="32"/>
          <w:lang w:val="en-US" w:eastAsia="zh-CN"/>
        </w:rPr>
        <w:t xml:space="preserve"> 项目实施单位应督导施工单位按劳动合同或用工书面协议约定，通过工资专用账户按月足额将工资直接发放给建筑工人；也可在合同中约定，由项目实施单位在支付进度款时，通过工资专用账户按月足额将工资发放给建筑工人。</w:t>
      </w:r>
    </w:p>
    <w:p w14:paraId="61AC09B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项目实施单位应在工程招投标文件及工程合同内明确要求施工总承包单位实现对建筑工人实名制管理、签订劳动合同或用工书面协议、建立建筑工人工资支付专户等保障建筑工人工资支付条款。</w:t>
      </w:r>
    </w:p>
    <w:p w14:paraId="24BDCC9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项目实施单位应督导施工单位按照工程合同健全完善上述信息，经验收合格后，方可开工。其中，建筑工人工资支付专户由施工单位开设，报属地政府相关工程监管部门备案，相关资料应妥善保存备查。</w:t>
      </w:r>
    </w:p>
    <w:p w14:paraId="1424B2C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第二节 工程审计</w:t>
      </w:r>
    </w:p>
    <w:p w14:paraId="5A3441D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第一百零九条</w:t>
      </w:r>
      <w:r>
        <w:rPr>
          <w:rFonts w:hint="eastAsia" w:ascii="仿宋_GB2312" w:hAnsi="宋体" w:eastAsia="仿宋_GB2312" w:cs="仿宋_GB2312"/>
          <w:bCs/>
          <w:sz w:val="32"/>
          <w:szCs w:val="32"/>
          <w:lang w:val="en-US" w:eastAsia="zh-CN"/>
        </w:rPr>
        <w:t xml:space="preserve"> 工程审计是指对建设项目从投资决策到竣工决算各阶段业务管理活动的合法性、合规性进行审查和评价活动，对工程计划、设计、招投标、合同、施工、验收、付款情况以及工程竣工结算价款的全过程审计，按《皖北煤电集团公司工程审计管理办法》（皖北煤电审计〔2023〕56号）执行。具体流程如下：</w:t>
      </w:r>
    </w:p>
    <w:p w14:paraId="0055B26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（一）工程计划设备购置类施工项目，工程竣工验收后项目实施单位报送结算至工程办初审，初审后由项目实施单位负责人报集团相对应专业部室审核，审核结束后报送集团审计部终审。</w:t>
      </w:r>
    </w:p>
    <w:p w14:paraId="79D211F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（二）工程计划土建、安装类施工项目，工程竣工验收后项目实施单位报送结算至工程办，工程办初审后报集团规划发展部审核，规划发展部审核结束后报送集团审计部终审。</w:t>
      </w:r>
    </w:p>
    <w:p w14:paraId="77D5845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（三）零星工程（除招标确定单价的项目）竣工验收后，工程办初审后报集团审计部终审。</w:t>
      </w:r>
    </w:p>
    <w:p w14:paraId="0E7785A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宋体" w:eastAsia="仿宋_GB2312" w:cs="仿宋_GB2312"/>
          <w:b/>
          <w:bCs w:val="0"/>
          <w:sz w:val="32"/>
          <w:szCs w:val="32"/>
          <w:lang w:val="en-US" w:eastAsia="zh-CN"/>
        </w:rPr>
      </w:pPr>
      <w:r>
        <w:rPr>
          <w:rFonts w:hint="eastAsia" w:ascii="仿宋_GB2312" w:hAnsi="宋体" w:eastAsia="仿宋_GB2312" w:cs="仿宋_GB2312"/>
          <w:b/>
          <w:bCs w:val="0"/>
          <w:sz w:val="32"/>
          <w:szCs w:val="32"/>
          <w:lang w:val="en-US" w:eastAsia="zh-CN"/>
        </w:rPr>
        <w:t>第三节 档案信息管理</w:t>
      </w:r>
    </w:p>
    <w:p w14:paraId="28336A0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第一百一十条</w:t>
      </w:r>
      <w:r>
        <w:rPr>
          <w:rFonts w:hint="eastAsia" w:ascii="仿宋_GB2312" w:hAnsi="宋体" w:eastAsia="仿宋_GB2312" w:cs="仿宋_GB2312"/>
          <w:bCs/>
          <w:sz w:val="32"/>
          <w:szCs w:val="32"/>
          <w:lang w:val="en-US" w:eastAsia="zh-CN"/>
        </w:rPr>
        <w:t xml:space="preserve"> 推进工程项目管理系统全过程信息化管理，项目实施单位应及时录入相关过程资料，实现过程管理规范化。</w:t>
      </w:r>
    </w:p>
    <w:p w14:paraId="66357D0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第一百一十一条</w:t>
      </w:r>
      <w:r>
        <w:rPr>
          <w:rFonts w:hint="eastAsia" w:ascii="仿宋_GB2312" w:hAnsi="宋体" w:eastAsia="仿宋_GB2312" w:cs="仿宋_GB2312"/>
          <w:bCs/>
          <w:sz w:val="32"/>
          <w:szCs w:val="32"/>
          <w:lang w:val="en-US" w:eastAsia="zh-CN"/>
        </w:rPr>
        <w:t xml:space="preserve"> 项目实施单位应按照公司档案管理相关规定，</w:t>
      </w:r>
      <w:r>
        <w:rPr>
          <w:rFonts w:hint="eastAsia" w:ascii="仿宋_GB2312" w:hAnsi="宋体" w:eastAsia="仿宋_GB2312" w:cs="仿宋_GB2312"/>
          <w:bCs/>
          <w:sz w:val="32"/>
          <w:szCs w:val="32"/>
          <w:lang w:val="en-US" w:eastAsia="zh-CN"/>
        </w:rPr>
        <w:t>负责工程资料的收集整理，工程结束后，勘察设计、监理、施工等单位提交相应的资料，由项目实施单位统一管理，待收集整理完成后提交公司综合管理部档案室（纸质版原件）、工程办（纸质版原件、电子版）。</w:t>
      </w:r>
    </w:p>
    <w:p w14:paraId="66D28ECB">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第九章 监督考核</w:t>
      </w:r>
    </w:p>
    <w:p w14:paraId="47A095B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第一百一十二条</w:t>
      </w:r>
      <w:r>
        <w:rPr>
          <w:rFonts w:hint="eastAsia" w:ascii="仿宋_GB2312" w:hAnsi="宋体" w:eastAsia="仿宋_GB2312" w:cs="仿宋_GB2312"/>
          <w:bCs/>
          <w:sz w:val="32"/>
          <w:szCs w:val="32"/>
          <w:lang w:val="en-US" w:eastAsia="zh-CN"/>
        </w:rPr>
        <w:t xml:space="preserve"> 西北能化公司对计划工程项目、零星工程、自营工程实施全过程考核，考核结果纳入绩效工资。</w:t>
      </w:r>
    </w:p>
    <w:p w14:paraId="31C88E8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第一百一十三条</w:t>
      </w:r>
      <w:r>
        <w:rPr>
          <w:rFonts w:hint="eastAsia" w:ascii="仿宋_GB2312" w:hAnsi="宋体" w:eastAsia="仿宋_GB2312" w:cs="仿宋_GB2312"/>
          <w:bCs/>
          <w:sz w:val="32"/>
          <w:szCs w:val="32"/>
          <w:lang w:val="en-US" w:eastAsia="zh-CN"/>
        </w:rPr>
        <w:t xml:space="preserve"> 工程计划项目考核</w:t>
      </w:r>
    </w:p>
    <w:p w14:paraId="38E7679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（一）入选年度工程计划项目，未完成立项资料（可行性研究报告、设计方案、必要性说明等）签批手续，扣减项目负责人500元/项、项目单位部门1000元/项绩效工资；</w:t>
      </w:r>
    </w:p>
    <w:p w14:paraId="33D41FA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（二）立项资料签批手续完成后，未按时间节点在工程管理系统中完成立项数据入库、上传资料，扣减项目负责人500元/项绩效工资；</w:t>
      </w:r>
    </w:p>
    <w:p w14:paraId="200C523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立项数据完备，编制年度工程建议计划，未按集团公司时间节点（以集团公告为准）要求编制、上传资料（经理办公会审议纪要、签字版年度工程建议计划表），扣减工程办500元绩效工资；因项目单位立项数据未及时入库造成编制不及时，扣减项目负责人500元/项绩效工资；被集团公司通报查处的，扣减项目负责人及相关单位1000-2000元/项绩效工资；</w:t>
      </w:r>
    </w:p>
    <w:p w14:paraId="64F9569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集团公司下发年度工程计划10日内（以集团公告为准），项目实施单位通过工程管理系统明确项目实施时间节点（设计审查、工程量清单及控制价审查、计划招标、合同签订、开工时间、竣工时间）。未在规定时间内完成计划节点填报（项目启动信息），扣减项目负责人500元/项绩效工资；</w:t>
      </w:r>
    </w:p>
    <w:p w14:paraId="161CC73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（五）年度工程计划项目（含重点工程计划项目）实施节点完成后，按照工程管理系统既定计划节点考核。未在规定时间内完成相关资料报送（报送时间为每月23日之前），扣减项目负责人500元/次绩效工资；</w:t>
      </w:r>
    </w:p>
    <w:p w14:paraId="24927E3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依据工程管理系统模块功能，从设计审查直至项目评价，项目单位每完成一个节点上传相关签批原件扫描资料（如设计审查、工程量清单及控制价审查、合同备案、安全协议、施工组织设计审查、开复工、进度计划、竣工验收等），未完成资料上传，扣减项目负责人500元/次绩效工资；</w:t>
      </w:r>
    </w:p>
    <w:p w14:paraId="36EFD7C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工程现场管理考核参照《皖北煤电集团公司工程管理办法》（皖北煤电规划〔2025〕59号）第一百二十一条（二）规定，每违反一条扣减项目负责人500元绩效工资；被集团公司查处的，扣减项目负责人及相关单位1000-2000元绩效工资；</w:t>
      </w:r>
    </w:p>
    <w:p w14:paraId="07AFDA9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（八）项目实施单位工程计划的完成项目数量与项目实施单位工程计划总项目数量的比值（工程计划项目完成率）未达到 85%，扣减项目实施单位部门1000元绩效工资；</w:t>
      </w:r>
    </w:p>
    <w:p w14:paraId="0EF0EB2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（九）项目实施单位完成项目的实际资金与对应项目计划金额的比值（工程计划资金偏差率）低于 90%时，扣减项目负责人500元/项绩效工资；</w:t>
      </w:r>
    </w:p>
    <w:p w14:paraId="5E0E88D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（十）项目实施单位年度内项目单位工程计划调整的数量与年初下达的工程计划项目数量的比值高于3%，扣减项目实施单位部门1000元绩效工资；</w:t>
      </w:r>
    </w:p>
    <w:p w14:paraId="48851781">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（十一）未按审计程序报送工程结算，考核相关报送部门1000元/项绩效工资。</w:t>
      </w:r>
    </w:p>
    <w:p w14:paraId="5F4F32B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第一百一十四条</w:t>
      </w:r>
      <w:r>
        <w:rPr>
          <w:rFonts w:hint="eastAsia" w:ascii="仿宋_GB2312" w:hAnsi="宋体" w:eastAsia="仿宋_GB2312" w:cs="仿宋_GB2312"/>
          <w:bCs/>
          <w:sz w:val="32"/>
          <w:szCs w:val="32"/>
          <w:lang w:val="en-US" w:eastAsia="zh-CN"/>
        </w:rPr>
        <w:t xml:space="preserve"> 零星工程考核</w:t>
      </w:r>
    </w:p>
    <w:p w14:paraId="5223339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（一）零星工程施行一报告一联系单形式，未有联系单施工单位擅自施工的扣减施工单位1000元/次工程；未报告属地车间私自安排施工单位施工的扣减车间主任500元/次绩效工资；</w:t>
      </w:r>
    </w:p>
    <w:p w14:paraId="16A52A1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工程施工方案一经审批，施工单位不得擅自改变工程内容、提高工程标准、扩大工程范围。确实需要变更的，应重新通过立项审批程序予以确认，否则由此增加的工程造价，工程办不予结算且扣减（1000-5000元）/次工程款；</w:t>
      </w:r>
    </w:p>
    <w:p w14:paraId="5C54114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施工作业前一天下午四点半前，施工单位报送经属地车间确认的作业计划至工程办，作业计划未经报备严禁施工，否则将扣减施工单位（1000-5000元）/次工程款。作业计划一经属地车间确认、报备至检修作业群不得擅自更改，杜绝计划外零星工程，未经工程办核准，属地车间擅自删减作业计划，将扣减（500-1000元）/次绩效工资，特殊情况除外，例如恶劣天气、外部检查等；</w:t>
      </w:r>
    </w:p>
    <w:p w14:paraId="280F62C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（四）零星工程施工期间属地车间必须全程配备安全监护人员，如无例外不得擅自离岗，一经查实将扣减500元/次绩效工资，施工单位同样适用；</w:t>
      </w:r>
    </w:p>
    <w:p w14:paraId="6D8E6B7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（五）零星工程作业前（依据上班时间早上八点起始），属地车间最迟在两个小时内完成票证办理、安全技术交底，否则将扣减属地车间200元/次绩效工资；</w:t>
      </w:r>
    </w:p>
    <w:p w14:paraId="732082D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临时抢修的零星工程，经部门、分管领导同意后，可电话联系工程办，经工程办核准后由属地部门负责人或车间主任签发临时联络函，三日内补正式经领导批准的报告。未经工程管理人员核准，参照（一）进行处罚；若临时抢修零星工程补立报告公司主要领导审批程序中断或废止，该单项零星工程由属地部门/车间自行承担相关问题；</w:t>
      </w:r>
    </w:p>
    <w:p w14:paraId="188D341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七）零星脚手架工程施工完成后三日内须经属地单位、工程办、安全监管部、施工单位共同进行安全验收。未经共同安全验收合格，属地单位擅自使用的，将扣减属地单位1000元/次绩效工资。施工单位通知各相关部门进行脚手架安全验收，必须半个小时内到达指定地点验收，无故迟到、推脱的，扣减200元/次绩效工资。</w:t>
      </w:r>
    </w:p>
    <w:p w14:paraId="0804ECB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第一百一十五条</w:t>
      </w:r>
      <w:r>
        <w:rPr>
          <w:rFonts w:hint="eastAsia" w:ascii="仿宋_GB2312" w:hAnsi="宋体" w:eastAsia="仿宋_GB2312" w:cs="仿宋_GB2312"/>
          <w:bCs/>
          <w:sz w:val="32"/>
          <w:szCs w:val="32"/>
          <w:lang w:val="en-US" w:eastAsia="zh-CN"/>
        </w:rPr>
        <w:t xml:space="preserve"> 自营工程考核：参照第一百一十三条零星工程考核（一）、（二）（四）（五）。</w:t>
      </w:r>
    </w:p>
    <w:p w14:paraId="6362141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第一百一十六条 施工单位考核：违反本办法第五章现场管理相关条例，将扣减施工单位（1000-5000）/次工程款。</w:t>
      </w:r>
    </w:p>
    <w:p w14:paraId="6A9C03D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第一百一十七条</w:t>
      </w:r>
      <w:r>
        <w:rPr>
          <w:rFonts w:hint="eastAsia" w:ascii="仿宋_GB2312" w:hAnsi="宋体" w:eastAsia="仿宋_GB2312" w:cs="仿宋_GB2312"/>
          <w:bCs/>
          <w:sz w:val="32"/>
          <w:szCs w:val="32"/>
          <w:lang w:val="en-US" w:eastAsia="zh-CN"/>
        </w:rPr>
        <w:t xml:space="preserve"> 监督问责：参照《皖北煤电集团公司工程管理办法》（皖北煤电规划〔2025〕59号）第一百二十三条执行。</w:t>
      </w:r>
    </w:p>
    <w:p w14:paraId="4C715761">
      <w:pPr>
        <w:keepNext w:val="0"/>
        <w:keepLines w:val="0"/>
        <w:pageBreakBefore w:val="0"/>
        <w:kinsoku/>
        <w:wordWrap/>
        <w:overflowPunct/>
        <w:topLinePunct w:val="0"/>
        <w:autoSpaceDE/>
        <w:autoSpaceDN/>
        <w:bidi w:val="0"/>
        <w:spacing w:line="520" w:lineRule="exact"/>
        <w:jc w:val="center"/>
        <w:rPr>
          <w:rFonts w:hint="eastAsia" w:ascii="Arial" w:hAnsi="Arial" w:eastAsia="黑体"/>
          <w:b w:val="0"/>
          <w:bCs/>
          <w:sz w:val="32"/>
          <w:lang w:val="en-US" w:eastAsia="zh-CN"/>
        </w:rPr>
      </w:pPr>
      <w:r>
        <w:rPr>
          <w:rFonts w:hint="eastAsia" w:ascii="Arial" w:hAnsi="Arial" w:eastAsia="黑体"/>
          <w:b w:val="0"/>
          <w:bCs/>
          <w:sz w:val="32"/>
          <w:lang w:val="en-US" w:eastAsia="zh-CN"/>
        </w:rPr>
        <w:t>第十章 附则</w:t>
      </w:r>
    </w:p>
    <w:p w14:paraId="0D80C51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第一百一十八条</w:t>
      </w:r>
      <w:r>
        <w:rPr>
          <w:rFonts w:hint="eastAsia" w:ascii="仿宋_GB2312" w:hAnsi="宋体" w:eastAsia="仿宋_GB2312" w:cs="仿宋_GB2312"/>
          <w:bCs/>
          <w:sz w:val="32"/>
          <w:szCs w:val="32"/>
          <w:lang w:val="en-US" w:eastAsia="zh-CN"/>
        </w:rPr>
        <w:t xml:space="preserve"> 办法中“以上”包括本数，“以下”不包括本数。</w:t>
      </w:r>
    </w:p>
    <w:p w14:paraId="230E35E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第一百一十九条 本办法由西北能化公司工程办负责解释。</w:t>
      </w:r>
    </w:p>
    <w:p w14:paraId="610FCD5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第一百二十条</w:t>
      </w:r>
      <w:r>
        <w:rPr>
          <w:rFonts w:hint="eastAsia" w:ascii="仿宋_GB2312" w:hAnsi="宋体" w:eastAsia="仿宋_GB2312" w:cs="仿宋_GB2312"/>
          <w:bCs/>
          <w:sz w:val="32"/>
          <w:szCs w:val="32"/>
          <w:lang w:val="en-US" w:eastAsia="zh-CN"/>
        </w:rPr>
        <w:t xml:space="preserve"> 本办法自印发之日起施行。西北能化经管〔2025〕2号附件11《2025年工程管理办法》同时废止。</w:t>
      </w:r>
    </w:p>
    <w:p w14:paraId="731EAC60">
      <w:pPr>
        <w:keepNext w:val="0"/>
        <w:keepLines w:val="0"/>
        <w:pageBreakBefore w:val="0"/>
        <w:widowControl/>
        <w:suppressLineNumbers w:val="0"/>
        <w:kinsoku/>
        <w:wordWrap/>
        <w:overflowPunct/>
        <w:topLinePunct w:val="0"/>
        <w:autoSpaceDE/>
        <w:autoSpaceDN/>
        <w:bidi w:val="0"/>
        <w:spacing w:line="520" w:lineRule="exact"/>
        <w:jc w:val="left"/>
        <w:rPr>
          <w:rFonts w:hint="eastAsia" w:ascii="仿宋_GB2312" w:hAnsi="仿宋_GB2312" w:eastAsia="仿宋_GB2312" w:cs="仿宋_GB2312"/>
          <w:b/>
          <w:bCs/>
          <w:color w:val="000000"/>
          <w:kern w:val="0"/>
          <w:sz w:val="32"/>
          <w:szCs w:val="32"/>
          <w:lang w:val="en-US" w:eastAsia="zh-CN" w:bidi="ar"/>
        </w:rPr>
      </w:pPr>
    </w:p>
    <w:p w14:paraId="6E9DC0F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附表：1.工程开工申请表</w:t>
      </w:r>
    </w:p>
    <w:p w14:paraId="2BAA32DA">
      <w:pPr>
        <w:keepNext w:val="0"/>
        <w:keepLines w:val="0"/>
        <w:pageBreakBefore w:val="0"/>
        <w:widowControl/>
        <w:suppressLineNumbers w:val="0"/>
        <w:kinsoku/>
        <w:wordWrap/>
        <w:overflowPunct/>
        <w:topLinePunct w:val="0"/>
        <w:autoSpaceDE/>
        <w:autoSpaceDN/>
        <w:bidi w:val="0"/>
        <w:adjustRightInd/>
        <w:snapToGrid/>
        <w:spacing w:line="560" w:lineRule="exact"/>
        <w:ind w:firstLine="1600" w:firstLineChars="5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2.工程项目资料清单</w:t>
      </w:r>
    </w:p>
    <w:p w14:paraId="2D9A5E81">
      <w:pPr>
        <w:keepNext w:val="0"/>
        <w:keepLines w:val="0"/>
        <w:pageBreakBefore w:val="0"/>
        <w:widowControl/>
        <w:suppressLineNumbers w:val="0"/>
        <w:kinsoku/>
        <w:wordWrap/>
        <w:overflowPunct/>
        <w:topLinePunct w:val="0"/>
        <w:autoSpaceDE/>
        <w:autoSpaceDN/>
        <w:bidi w:val="0"/>
        <w:adjustRightInd/>
        <w:snapToGrid/>
        <w:spacing w:line="560" w:lineRule="exact"/>
        <w:ind w:firstLine="1600" w:firstLineChars="5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3.工程管理流程图</w:t>
      </w:r>
    </w:p>
    <w:p w14:paraId="51035F9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08FE5D3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4AB5715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3C56FD4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35C860D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4711A8F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5183CDF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1FCE6EC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宋体" w:eastAsia="仿宋_GB2312" w:cs="仿宋_GB2312"/>
          <w:bCs/>
          <w:sz w:val="32"/>
          <w:szCs w:val="32"/>
          <w:lang w:val="en-US" w:eastAsia="zh-CN"/>
        </w:rPr>
      </w:pPr>
    </w:p>
    <w:p w14:paraId="38006D8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附表1</w:t>
      </w:r>
    </w:p>
    <w:tbl>
      <w:tblPr>
        <w:tblStyle w:val="10"/>
        <w:tblW w:w="9851" w:type="dxa"/>
        <w:tblInd w:w="-102" w:type="dxa"/>
        <w:tblLayout w:type="autofit"/>
        <w:tblCellMar>
          <w:top w:w="0" w:type="dxa"/>
          <w:left w:w="108" w:type="dxa"/>
          <w:bottom w:w="0" w:type="dxa"/>
          <w:right w:w="108" w:type="dxa"/>
        </w:tblCellMar>
      </w:tblPr>
      <w:tblGrid>
        <w:gridCol w:w="1290"/>
        <w:gridCol w:w="445"/>
        <w:gridCol w:w="540"/>
        <w:gridCol w:w="2030"/>
        <w:gridCol w:w="735"/>
        <w:gridCol w:w="125"/>
        <w:gridCol w:w="1340"/>
        <w:gridCol w:w="1260"/>
        <w:gridCol w:w="1630"/>
        <w:gridCol w:w="456"/>
      </w:tblGrid>
      <w:tr w14:paraId="42C10878">
        <w:tblPrEx>
          <w:tblCellMar>
            <w:top w:w="0" w:type="dxa"/>
            <w:left w:w="108" w:type="dxa"/>
            <w:bottom w:w="0" w:type="dxa"/>
            <w:right w:w="108" w:type="dxa"/>
          </w:tblCellMar>
        </w:tblPrEx>
        <w:trPr>
          <w:trHeight w:val="480" w:hRule="atLeast"/>
        </w:trPr>
        <w:tc>
          <w:tcPr>
            <w:tcW w:w="9851" w:type="dxa"/>
            <w:gridSpan w:val="10"/>
            <w:tcBorders>
              <w:top w:val="nil"/>
              <w:left w:val="nil"/>
              <w:bottom w:val="nil"/>
              <w:right w:val="nil"/>
            </w:tcBorders>
            <w:shd w:val="clear" w:color="auto" w:fill="auto"/>
            <w:noWrap/>
            <w:vAlign w:val="center"/>
          </w:tcPr>
          <w:p w14:paraId="6BF35747">
            <w:pPr>
              <w:widowControl/>
              <w:spacing w:line="400" w:lineRule="exact"/>
              <w:jc w:val="center"/>
              <w:rPr>
                <w:rFonts w:ascii="仿宋_GB2312" w:hAnsi="宋体" w:eastAsia="仿宋_GB2312" w:cs="宋体"/>
                <w:b/>
                <w:bCs/>
                <w:color w:val="000000" w:themeColor="text1"/>
                <w:kern w:val="0"/>
                <w:sz w:val="32"/>
                <w:szCs w:val="32"/>
                <w14:textFill>
                  <w14:solidFill>
                    <w14:schemeClr w14:val="tx1"/>
                  </w14:solidFill>
                </w14:textFill>
              </w:rPr>
            </w:pPr>
            <w:r>
              <w:rPr>
                <w:rFonts w:hint="eastAsia" w:ascii="仿宋_GB2312" w:hAnsi="宋体" w:eastAsia="仿宋_GB2312" w:cs="宋体"/>
                <w:b/>
                <w:bCs/>
                <w:color w:val="000000" w:themeColor="text1"/>
                <w:kern w:val="0"/>
                <w:sz w:val="32"/>
                <w:szCs w:val="32"/>
                <w14:textFill>
                  <w14:solidFill>
                    <w14:schemeClr w14:val="tx1"/>
                  </w14:solidFill>
                </w14:textFill>
              </w:rPr>
              <w:t>工程开工申请表</w:t>
            </w:r>
          </w:p>
        </w:tc>
      </w:tr>
      <w:tr w14:paraId="179B02DD">
        <w:tblPrEx>
          <w:tblCellMar>
            <w:top w:w="0" w:type="dxa"/>
            <w:left w:w="108" w:type="dxa"/>
            <w:bottom w:w="0" w:type="dxa"/>
            <w:right w:w="108" w:type="dxa"/>
          </w:tblCellMar>
        </w:tblPrEx>
        <w:trPr>
          <w:trHeight w:val="360" w:hRule="atLeast"/>
        </w:trPr>
        <w:tc>
          <w:tcPr>
            <w:tcW w:w="1735" w:type="dxa"/>
            <w:gridSpan w:val="2"/>
            <w:tcBorders>
              <w:top w:val="nil"/>
              <w:left w:val="nil"/>
              <w:bottom w:val="nil"/>
              <w:right w:val="nil"/>
            </w:tcBorders>
            <w:shd w:val="clear" w:color="auto" w:fill="auto"/>
            <w:noWrap/>
            <w:vAlign w:val="center"/>
          </w:tcPr>
          <w:p w14:paraId="47F37F9F">
            <w:pPr>
              <w:widowControl/>
              <w:spacing w:line="400" w:lineRule="exact"/>
              <w:jc w:val="left"/>
              <w:rPr>
                <w:rFonts w:hint="eastAsia" w:ascii="楷体_GB2312" w:hAnsi="宋体" w:eastAsia="楷体_GB2312" w:cs="宋体"/>
                <w:b/>
                <w:bCs/>
                <w:color w:val="000000" w:themeColor="text1"/>
                <w:kern w:val="0"/>
                <w:sz w:val="24"/>
                <w14:textFill>
                  <w14:solidFill>
                    <w14:schemeClr w14:val="tx1"/>
                  </w14:solidFill>
                </w14:textFill>
              </w:rPr>
            </w:pPr>
          </w:p>
        </w:tc>
        <w:tc>
          <w:tcPr>
            <w:tcW w:w="540" w:type="dxa"/>
            <w:tcBorders>
              <w:top w:val="nil"/>
              <w:left w:val="nil"/>
              <w:bottom w:val="nil"/>
              <w:right w:val="nil"/>
            </w:tcBorders>
            <w:shd w:val="clear" w:color="auto" w:fill="auto"/>
            <w:noWrap/>
            <w:vAlign w:val="center"/>
          </w:tcPr>
          <w:p w14:paraId="7B429104">
            <w:pPr>
              <w:widowControl/>
              <w:spacing w:line="400" w:lineRule="exact"/>
              <w:jc w:val="center"/>
              <w:rPr>
                <w:rFonts w:ascii="宋体" w:hAnsi="宋体" w:cs="宋体"/>
                <w:color w:val="000000" w:themeColor="text1"/>
                <w:kern w:val="0"/>
                <w:sz w:val="24"/>
                <w14:textFill>
                  <w14:solidFill>
                    <w14:schemeClr w14:val="tx1"/>
                  </w14:solidFill>
                </w14:textFill>
              </w:rPr>
            </w:pPr>
          </w:p>
        </w:tc>
        <w:tc>
          <w:tcPr>
            <w:tcW w:w="2030" w:type="dxa"/>
            <w:tcBorders>
              <w:top w:val="nil"/>
              <w:left w:val="nil"/>
              <w:bottom w:val="nil"/>
              <w:right w:val="nil"/>
            </w:tcBorders>
            <w:shd w:val="clear" w:color="auto" w:fill="auto"/>
            <w:noWrap/>
            <w:vAlign w:val="center"/>
          </w:tcPr>
          <w:p w14:paraId="4BAE898B">
            <w:pPr>
              <w:widowControl/>
              <w:spacing w:line="400" w:lineRule="exact"/>
              <w:jc w:val="center"/>
              <w:rPr>
                <w:rFonts w:ascii="宋体" w:hAnsi="宋体" w:cs="宋体"/>
                <w:color w:val="000000" w:themeColor="text1"/>
                <w:kern w:val="0"/>
                <w:sz w:val="24"/>
                <w14:textFill>
                  <w14:solidFill>
                    <w14:schemeClr w14:val="tx1"/>
                  </w14:solidFill>
                </w14:textFill>
              </w:rPr>
            </w:pPr>
          </w:p>
        </w:tc>
        <w:tc>
          <w:tcPr>
            <w:tcW w:w="860" w:type="dxa"/>
            <w:gridSpan w:val="2"/>
            <w:tcBorders>
              <w:top w:val="nil"/>
              <w:left w:val="nil"/>
              <w:bottom w:val="nil"/>
              <w:right w:val="nil"/>
            </w:tcBorders>
            <w:shd w:val="clear" w:color="auto" w:fill="auto"/>
            <w:noWrap/>
            <w:vAlign w:val="center"/>
          </w:tcPr>
          <w:p w14:paraId="242F7343">
            <w:pPr>
              <w:widowControl/>
              <w:spacing w:line="400" w:lineRule="exact"/>
              <w:jc w:val="center"/>
              <w:rPr>
                <w:rFonts w:ascii="宋体" w:hAnsi="宋体" w:cs="宋体"/>
                <w:color w:val="000000" w:themeColor="text1"/>
                <w:kern w:val="0"/>
                <w:sz w:val="24"/>
                <w14:textFill>
                  <w14:solidFill>
                    <w14:schemeClr w14:val="tx1"/>
                  </w14:solidFill>
                </w14:textFill>
              </w:rPr>
            </w:pPr>
          </w:p>
        </w:tc>
        <w:tc>
          <w:tcPr>
            <w:tcW w:w="1340" w:type="dxa"/>
            <w:tcBorders>
              <w:top w:val="nil"/>
              <w:left w:val="nil"/>
              <w:bottom w:val="nil"/>
              <w:right w:val="nil"/>
            </w:tcBorders>
            <w:shd w:val="clear" w:color="auto" w:fill="auto"/>
            <w:noWrap/>
            <w:vAlign w:val="center"/>
          </w:tcPr>
          <w:p w14:paraId="4415E042">
            <w:pPr>
              <w:widowControl/>
              <w:spacing w:line="400" w:lineRule="exact"/>
              <w:jc w:val="center"/>
              <w:rPr>
                <w:rFonts w:ascii="宋体" w:hAnsi="宋体" w:cs="宋体"/>
                <w:color w:val="000000" w:themeColor="text1"/>
                <w:kern w:val="0"/>
                <w:sz w:val="24"/>
                <w14:textFill>
                  <w14:solidFill>
                    <w14:schemeClr w14:val="tx1"/>
                  </w14:solidFill>
                </w14:textFill>
              </w:rPr>
            </w:pPr>
          </w:p>
        </w:tc>
        <w:tc>
          <w:tcPr>
            <w:tcW w:w="1260" w:type="dxa"/>
            <w:tcBorders>
              <w:top w:val="nil"/>
              <w:left w:val="nil"/>
              <w:bottom w:val="nil"/>
              <w:right w:val="nil"/>
            </w:tcBorders>
            <w:shd w:val="clear" w:color="auto" w:fill="auto"/>
            <w:noWrap/>
            <w:vAlign w:val="center"/>
          </w:tcPr>
          <w:p w14:paraId="7EA92B0E">
            <w:pPr>
              <w:widowControl/>
              <w:spacing w:line="400" w:lineRule="exact"/>
              <w:jc w:val="right"/>
              <w:rPr>
                <w:rFonts w:hint="eastAsia" w:ascii="仿宋_GB2312" w:hAnsi="宋体" w:eastAsia="仿宋_GB2312" w:cs="宋体"/>
                <w:color w:val="000000" w:themeColor="text1"/>
                <w:kern w:val="0"/>
                <w:sz w:val="24"/>
                <w14:textFill>
                  <w14:solidFill>
                    <w14:schemeClr w14:val="tx1"/>
                  </w14:solidFill>
                </w14:textFill>
              </w:rPr>
            </w:pPr>
            <w:r>
              <w:rPr>
                <w:rFonts w:hint="eastAsia" w:ascii="仿宋_GB2312" w:hAnsi="宋体" w:eastAsia="仿宋_GB2312" w:cs="宋体"/>
                <w:color w:val="000000" w:themeColor="text1"/>
                <w:kern w:val="0"/>
                <w:sz w:val="24"/>
                <w14:textFill>
                  <w14:solidFill>
                    <w14:schemeClr w14:val="tx1"/>
                  </w14:solidFill>
                </w14:textFill>
              </w:rPr>
              <w:t>年</w:t>
            </w:r>
          </w:p>
        </w:tc>
        <w:tc>
          <w:tcPr>
            <w:tcW w:w="1630" w:type="dxa"/>
            <w:tcBorders>
              <w:top w:val="nil"/>
              <w:left w:val="nil"/>
              <w:bottom w:val="nil"/>
              <w:right w:val="nil"/>
            </w:tcBorders>
            <w:shd w:val="clear" w:color="auto" w:fill="auto"/>
            <w:noWrap/>
            <w:vAlign w:val="center"/>
          </w:tcPr>
          <w:p w14:paraId="3077F432">
            <w:pPr>
              <w:widowControl/>
              <w:spacing w:line="400" w:lineRule="exact"/>
              <w:jc w:val="center"/>
              <w:rPr>
                <w:rFonts w:hint="eastAsia" w:ascii="仿宋_GB2312" w:hAnsi="宋体" w:eastAsia="仿宋_GB2312" w:cs="宋体"/>
                <w:color w:val="000000" w:themeColor="text1"/>
                <w:kern w:val="0"/>
                <w:sz w:val="24"/>
                <w14:textFill>
                  <w14:solidFill>
                    <w14:schemeClr w14:val="tx1"/>
                  </w14:solidFill>
                </w14:textFill>
              </w:rPr>
            </w:pPr>
            <w:r>
              <w:rPr>
                <w:rFonts w:hint="eastAsia" w:ascii="仿宋_GB2312" w:hAnsi="宋体" w:eastAsia="仿宋_GB2312" w:cs="宋体"/>
                <w:color w:val="000000" w:themeColor="text1"/>
                <w:kern w:val="0"/>
                <w:sz w:val="24"/>
                <w14:textFill>
                  <w14:solidFill>
                    <w14:schemeClr w14:val="tx1"/>
                  </w14:solidFill>
                </w14:textFill>
              </w:rPr>
              <w:t>月</w:t>
            </w:r>
          </w:p>
        </w:tc>
        <w:tc>
          <w:tcPr>
            <w:tcW w:w="456" w:type="dxa"/>
            <w:tcBorders>
              <w:top w:val="nil"/>
              <w:left w:val="nil"/>
              <w:bottom w:val="nil"/>
              <w:right w:val="nil"/>
            </w:tcBorders>
            <w:shd w:val="clear" w:color="auto" w:fill="auto"/>
            <w:noWrap/>
            <w:vAlign w:val="center"/>
          </w:tcPr>
          <w:p w14:paraId="028FBE4C">
            <w:pPr>
              <w:widowControl/>
              <w:spacing w:line="400" w:lineRule="exact"/>
              <w:jc w:val="left"/>
              <w:rPr>
                <w:rFonts w:hint="eastAsia" w:ascii="仿宋_GB2312" w:hAnsi="宋体" w:eastAsia="仿宋_GB2312" w:cs="宋体"/>
                <w:color w:val="000000" w:themeColor="text1"/>
                <w:kern w:val="0"/>
                <w:sz w:val="24"/>
                <w14:textFill>
                  <w14:solidFill>
                    <w14:schemeClr w14:val="tx1"/>
                  </w14:solidFill>
                </w14:textFill>
              </w:rPr>
            </w:pPr>
            <w:r>
              <w:rPr>
                <w:rFonts w:hint="eastAsia" w:ascii="仿宋_GB2312" w:hAnsi="宋体" w:eastAsia="仿宋_GB2312" w:cs="宋体"/>
                <w:color w:val="000000" w:themeColor="text1"/>
                <w:kern w:val="0"/>
                <w:sz w:val="24"/>
                <w14:textFill>
                  <w14:solidFill>
                    <w14:schemeClr w14:val="tx1"/>
                  </w14:solidFill>
                </w14:textFill>
              </w:rPr>
              <w:t>日</w:t>
            </w:r>
          </w:p>
        </w:tc>
      </w:tr>
      <w:tr w14:paraId="6050A174">
        <w:tblPrEx>
          <w:tblCellMar>
            <w:top w:w="0" w:type="dxa"/>
            <w:left w:w="108" w:type="dxa"/>
            <w:bottom w:w="0" w:type="dxa"/>
            <w:right w:w="108" w:type="dxa"/>
          </w:tblCellMar>
        </w:tblPrEx>
        <w:trPr>
          <w:trHeight w:val="439" w:hRule="atLeast"/>
        </w:trPr>
        <w:tc>
          <w:tcPr>
            <w:tcW w:w="5165"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14:paraId="06D78C38">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项目名称：</w:t>
            </w:r>
          </w:p>
        </w:tc>
        <w:tc>
          <w:tcPr>
            <w:tcW w:w="4686" w:type="dxa"/>
            <w:gridSpan w:val="4"/>
            <w:tcBorders>
              <w:top w:val="single" w:color="auto" w:sz="4" w:space="0"/>
              <w:left w:val="nil"/>
              <w:bottom w:val="single" w:color="auto" w:sz="4" w:space="0"/>
              <w:right w:val="single" w:color="000000" w:sz="4" w:space="0"/>
            </w:tcBorders>
            <w:shd w:val="clear" w:color="auto" w:fill="auto"/>
            <w:noWrap/>
            <w:vAlign w:val="center"/>
          </w:tcPr>
          <w:p w14:paraId="159690FA">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单位工程名称：</w:t>
            </w:r>
          </w:p>
        </w:tc>
      </w:tr>
      <w:tr w14:paraId="6D787403">
        <w:tblPrEx>
          <w:tblCellMar>
            <w:top w:w="0" w:type="dxa"/>
            <w:left w:w="108" w:type="dxa"/>
            <w:bottom w:w="0" w:type="dxa"/>
            <w:right w:w="108" w:type="dxa"/>
          </w:tblCellMar>
        </w:tblPrEx>
        <w:trPr>
          <w:trHeight w:val="439" w:hRule="atLeast"/>
        </w:trPr>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574E3">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施工单位：</w:t>
            </w:r>
          </w:p>
        </w:tc>
        <w:tc>
          <w:tcPr>
            <w:tcW w:w="8561" w:type="dxa"/>
            <w:gridSpan w:val="9"/>
            <w:tcBorders>
              <w:top w:val="single" w:color="auto" w:sz="4" w:space="0"/>
              <w:left w:val="single" w:color="auto" w:sz="4" w:space="0"/>
              <w:bottom w:val="single" w:color="auto" w:sz="4" w:space="0"/>
              <w:right w:val="single" w:color="000000" w:sz="4" w:space="0"/>
            </w:tcBorders>
            <w:shd w:val="clear" w:color="auto" w:fill="auto"/>
            <w:noWrap w:val="0"/>
            <w:vAlign w:val="center"/>
          </w:tcPr>
          <w:p w14:paraId="041E6AB9">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r>
      <w:tr w14:paraId="1D5D23A4">
        <w:tblPrEx>
          <w:tblCellMar>
            <w:top w:w="0" w:type="dxa"/>
            <w:left w:w="108" w:type="dxa"/>
            <w:bottom w:w="0" w:type="dxa"/>
            <w:right w:w="108" w:type="dxa"/>
          </w:tblCellMar>
        </w:tblPrEx>
        <w:trPr>
          <w:trHeight w:val="439" w:hRule="atLeast"/>
        </w:trPr>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1A9DE4">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设计单位：</w:t>
            </w:r>
          </w:p>
        </w:tc>
        <w:tc>
          <w:tcPr>
            <w:tcW w:w="8561" w:type="dxa"/>
            <w:gridSpan w:val="9"/>
            <w:tcBorders>
              <w:top w:val="single" w:color="auto" w:sz="4" w:space="0"/>
              <w:left w:val="single" w:color="auto" w:sz="4" w:space="0"/>
              <w:bottom w:val="single" w:color="auto" w:sz="4" w:space="0"/>
              <w:right w:val="single" w:color="000000" w:sz="4" w:space="0"/>
            </w:tcBorders>
            <w:shd w:val="clear" w:color="auto" w:fill="auto"/>
            <w:noWrap w:val="0"/>
            <w:vAlign w:val="center"/>
          </w:tcPr>
          <w:p w14:paraId="55D90281">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r>
      <w:tr w14:paraId="67E6B716">
        <w:tblPrEx>
          <w:tblCellMar>
            <w:top w:w="0" w:type="dxa"/>
            <w:left w:w="108" w:type="dxa"/>
            <w:bottom w:w="0" w:type="dxa"/>
            <w:right w:w="108" w:type="dxa"/>
          </w:tblCellMar>
        </w:tblPrEx>
        <w:trPr>
          <w:trHeight w:val="439" w:hRule="atLeast"/>
        </w:trPr>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730182">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监理单位：</w:t>
            </w:r>
          </w:p>
        </w:tc>
        <w:tc>
          <w:tcPr>
            <w:tcW w:w="8561" w:type="dxa"/>
            <w:gridSpan w:val="9"/>
            <w:tcBorders>
              <w:top w:val="single" w:color="auto" w:sz="4" w:space="0"/>
              <w:left w:val="single" w:color="auto" w:sz="4" w:space="0"/>
              <w:bottom w:val="single" w:color="auto" w:sz="4" w:space="0"/>
              <w:right w:val="single" w:color="000000" w:sz="4" w:space="0"/>
            </w:tcBorders>
            <w:shd w:val="clear" w:color="auto" w:fill="auto"/>
            <w:noWrap w:val="0"/>
            <w:vAlign w:val="center"/>
          </w:tcPr>
          <w:p w14:paraId="531FED13">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r>
      <w:tr w14:paraId="639ED855">
        <w:tblPrEx>
          <w:tblCellMar>
            <w:top w:w="0" w:type="dxa"/>
            <w:left w:w="108" w:type="dxa"/>
            <w:bottom w:w="0" w:type="dxa"/>
            <w:right w:w="108" w:type="dxa"/>
          </w:tblCellMar>
        </w:tblPrEx>
        <w:trPr>
          <w:trHeight w:val="439" w:hRule="atLeast"/>
        </w:trPr>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DD1003">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计划类别</w:t>
            </w:r>
          </w:p>
        </w:tc>
        <w:tc>
          <w:tcPr>
            <w:tcW w:w="985" w:type="dxa"/>
            <w:gridSpan w:val="2"/>
            <w:tcBorders>
              <w:top w:val="single" w:color="auto" w:sz="4" w:space="0"/>
              <w:left w:val="single" w:color="auto" w:sz="4" w:space="0"/>
              <w:bottom w:val="single" w:color="auto" w:sz="4" w:space="0"/>
              <w:right w:val="single" w:color="000000" w:sz="4" w:space="0"/>
            </w:tcBorders>
            <w:shd w:val="clear" w:color="auto" w:fill="auto"/>
            <w:noWrap w:val="0"/>
            <w:vAlign w:val="center"/>
          </w:tcPr>
          <w:p w14:paraId="12146713">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p>
        </w:tc>
        <w:tc>
          <w:tcPr>
            <w:tcW w:w="4230" w:type="dxa"/>
            <w:gridSpan w:val="4"/>
            <w:tcBorders>
              <w:top w:val="single" w:color="auto" w:sz="4" w:space="0"/>
              <w:left w:val="nil"/>
              <w:bottom w:val="single" w:color="auto" w:sz="4" w:space="0"/>
              <w:right w:val="single" w:color="000000" w:sz="4" w:space="0"/>
            </w:tcBorders>
            <w:shd w:val="clear" w:color="auto" w:fill="auto"/>
            <w:noWrap/>
            <w:vAlign w:val="center"/>
          </w:tcPr>
          <w:p w14:paraId="7EF1C232">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计划开竣工日期：</w:t>
            </w:r>
          </w:p>
        </w:tc>
        <w:tc>
          <w:tcPr>
            <w:tcW w:w="3346" w:type="dxa"/>
            <w:gridSpan w:val="3"/>
            <w:tcBorders>
              <w:top w:val="single" w:color="auto" w:sz="4" w:space="0"/>
              <w:left w:val="nil"/>
              <w:bottom w:val="single" w:color="auto" w:sz="4" w:space="0"/>
              <w:right w:val="single" w:color="000000" w:sz="4" w:space="0"/>
            </w:tcBorders>
            <w:shd w:val="clear" w:color="auto" w:fill="auto"/>
            <w:noWrap/>
            <w:vAlign w:val="center"/>
          </w:tcPr>
          <w:p w14:paraId="6F8AD285">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实际开工日期：</w:t>
            </w:r>
          </w:p>
        </w:tc>
      </w:tr>
      <w:tr w14:paraId="49D64338">
        <w:tblPrEx>
          <w:tblCellMar>
            <w:top w:w="0" w:type="dxa"/>
            <w:left w:w="108" w:type="dxa"/>
            <w:bottom w:w="0" w:type="dxa"/>
            <w:right w:w="108" w:type="dxa"/>
          </w:tblCellMar>
        </w:tblPrEx>
        <w:trPr>
          <w:trHeight w:val="439" w:hRule="atLeast"/>
        </w:trPr>
        <w:tc>
          <w:tcPr>
            <w:tcW w:w="2275"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45DCA7E7">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计划工程量：</w:t>
            </w:r>
          </w:p>
        </w:tc>
        <w:tc>
          <w:tcPr>
            <w:tcW w:w="2765" w:type="dxa"/>
            <w:gridSpan w:val="2"/>
            <w:tcBorders>
              <w:top w:val="single" w:color="auto" w:sz="4" w:space="0"/>
              <w:left w:val="nil"/>
              <w:bottom w:val="single" w:color="auto" w:sz="4" w:space="0"/>
              <w:right w:val="single" w:color="000000" w:sz="4" w:space="0"/>
            </w:tcBorders>
            <w:shd w:val="clear" w:color="auto" w:fill="auto"/>
            <w:noWrap/>
            <w:vAlign w:val="center"/>
          </w:tcPr>
          <w:p w14:paraId="1791C512">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计划资金</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万元</w:t>
            </w:r>
          </w:p>
        </w:tc>
        <w:tc>
          <w:tcPr>
            <w:tcW w:w="2725" w:type="dxa"/>
            <w:gridSpan w:val="3"/>
            <w:tcBorders>
              <w:top w:val="single" w:color="auto" w:sz="4" w:space="0"/>
              <w:left w:val="nil"/>
              <w:bottom w:val="single" w:color="auto" w:sz="4" w:space="0"/>
              <w:right w:val="nil"/>
            </w:tcBorders>
            <w:shd w:val="clear" w:color="auto" w:fill="auto"/>
            <w:noWrap/>
            <w:vAlign w:val="center"/>
          </w:tcPr>
          <w:p w14:paraId="074AFC46">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批准施工工程量：</w:t>
            </w:r>
          </w:p>
        </w:tc>
        <w:tc>
          <w:tcPr>
            <w:tcW w:w="2086"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503D6979">
            <w:pPr>
              <w:widowControl/>
              <w:spacing w:line="300" w:lineRule="exact"/>
              <w:ind w:left="1155" w:hanging="1155" w:hangingChars="550"/>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批准施工图预算：</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万元</w:t>
            </w:r>
          </w:p>
        </w:tc>
      </w:tr>
      <w:tr w14:paraId="4A774A6F">
        <w:tblPrEx>
          <w:tblCellMar>
            <w:top w:w="0" w:type="dxa"/>
            <w:left w:w="108" w:type="dxa"/>
            <w:bottom w:w="0" w:type="dxa"/>
            <w:right w:w="108" w:type="dxa"/>
          </w:tblCellMar>
        </w:tblPrEx>
        <w:trPr>
          <w:trHeight w:val="499" w:hRule="atLeast"/>
        </w:trPr>
        <w:tc>
          <w:tcPr>
            <w:tcW w:w="1735" w:type="dxa"/>
            <w:gridSpan w:val="2"/>
            <w:vMerge w:val="restart"/>
            <w:tcBorders>
              <w:top w:val="nil"/>
              <w:left w:val="single" w:color="auto" w:sz="4" w:space="0"/>
              <w:bottom w:val="nil"/>
              <w:right w:val="single" w:color="auto" w:sz="4" w:space="0"/>
            </w:tcBorders>
            <w:shd w:val="clear" w:color="auto" w:fill="auto"/>
            <w:noWrap/>
            <w:vAlign w:val="center"/>
          </w:tcPr>
          <w:p w14:paraId="32D8E4D5">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工程技术特征</w:t>
            </w:r>
          </w:p>
        </w:tc>
        <w:tc>
          <w:tcPr>
            <w:tcW w:w="540" w:type="dxa"/>
            <w:tcBorders>
              <w:top w:val="nil"/>
              <w:left w:val="nil"/>
              <w:bottom w:val="nil"/>
              <w:right w:val="nil"/>
            </w:tcBorders>
            <w:shd w:val="clear" w:color="auto" w:fill="auto"/>
            <w:noWrap/>
            <w:vAlign w:val="center"/>
          </w:tcPr>
          <w:p w14:paraId="369E8B58">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2030" w:type="dxa"/>
            <w:tcBorders>
              <w:top w:val="nil"/>
              <w:left w:val="nil"/>
              <w:bottom w:val="nil"/>
              <w:right w:val="nil"/>
            </w:tcBorders>
            <w:shd w:val="clear" w:color="auto" w:fill="auto"/>
            <w:noWrap/>
            <w:vAlign w:val="center"/>
          </w:tcPr>
          <w:p w14:paraId="28EEF0AC">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nil"/>
            </w:tcBorders>
            <w:shd w:val="clear" w:color="auto" w:fill="auto"/>
            <w:noWrap/>
            <w:vAlign w:val="center"/>
          </w:tcPr>
          <w:p w14:paraId="1D83D647">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465" w:type="dxa"/>
            <w:gridSpan w:val="2"/>
            <w:tcBorders>
              <w:top w:val="nil"/>
              <w:left w:val="nil"/>
              <w:bottom w:val="nil"/>
              <w:right w:val="nil"/>
            </w:tcBorders>
            <w:shd w:val="clear" w:color="auto" w:fill="auto"/>
            <w:noWrap/>
            <w:vAlign w:val="center"/>
          </w:tcPr>
          <w:p w14:paraId="537F7542">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260" w:type="dxa"/>
            <w:tcBorders>
              <w:top w:val="nil"/>
              <w:left w:val="nil"/>
              <w:bottom w:val="nil"/>
              <w:right w:val="nil"/>
            </w:tcBorders>
            <w:shd w:val="clear" w:color="auto" w:fill="auto"/>
            <w:noWrap/>
            <w:vAlign w:val="center"/>
          </w:tcPr>
          <w:p w14:paraId="4598DCD1">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630" w:type="dxa"/>
            <w:tcBorders>
              <w:top w:val="nil"/>
              <w:left w:val="nil"/>
              <w:bottom w:val="nil"/>
              <w:right w:val="nil"/>
            </w:tcBorders>
            <w:shd w:val="clear" w:color="auto" w:fill="auto"/>
            <w:noWrap/>
            <w:vAlign w:val="center"/>
          </w:tcPr>
          <w:p w14:paraId="6E2C40EC">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456" w:type="dxa"/>
            <w:tcBorders>
              <w:top w:val="nil"/>
              <w:left w:val="nil"/>
              <w:bottom w:val="nil"/>
              <w:right w:val="single" w:color="auto" w:sz="4" w:space="0"/>
            </w:tcBorders>
            <w:shd w:val="clear" w:color="auto" w:fill="auto"/>
            <w:noWrap/>
            <w:vAlign w:val="center"/>
          </w:tcPr>
          <w:p w14:paraId="76100919">
            <w:pPr>
              <w:widowControl/>
              <w:spacing w:line="300" w:lineRule="exact"/>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6FBABB6E">
        <w:tblPrEx>
          <w:tblCellMar>
            <w:top w:w="0" w:type="dxa"/>
            <w:left w:w="108" w:type="dxa"/>
            <w:bottom w:w="0" w:type="dxa"/>
            <w:right w:w="108" w:type="dxa"/>
          </w:tblCellMar>
        </w:tblPrEx>
        <w:trPr>
          <w:trHeight w:val="499" w:hRule="atLeast"/>
        </w:trPr>
        <w:tc>
          <w:tcPr>
            <w:tcW w:w="1735" w:type="dxa"/>
            <w:gridSpan w:val="2"/>
            <w:vMerge w:val="continue"/>
            <w:tcBorders>
              <w:top w:val="nil"/>
              <w:left w:val="single" w:color="auto" w:sz="4" w:space="0"/>
              <w:bottom w:val="nil"/>
              <w:right w:val="single" w:color="auto" w:sz="4" w:space="0"/>
            </w:tcBorders>
            <w:shd w:val="clear" w:color="auto" w:fill="auto"/>
            <w:noWrap w:val="0"/>
            <w:vAlign w:val="center"/>
          </w:tcPr>
          <w:p w14:paraId="3DEA51EC">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p>
        </w:tc>
        <w:tc>
          <w:tcPr>
            <w:tcW w:w="540" w:type="dxa"/>
            <w:tcBorders>
              <w:top w:val="nil"/>
              <w:left w:val="nil"/>
              <w:bottom w:val="nil"/>
              <w:right w:val="nil"/>
            </w:tcBorders>
            <w:shd w:val="clear" w:color="auto" w:fill="auto"/>
            <w:noWrap/>
            <w:vAlign w:val="center"/>
          </w:tcPr>
          <w:p w14:paraId="611DE9F9">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2030" w:type="dxa"/>
            <w:tcBorders>
              <w:top w:val="nil"/>
              <w:left w:val="nil"/>
              <w:bottom w:val="nil"/>
              <w:right w:val="nil"/>
            </w:tcBorders>
            <w:shd w:val="clear" w:color="auto" w:fill="auto"/>
            <w:noWrap/>
            <w:vAlign w:val="center"/>
          </w:tcPr>
          <w:p w14:paraId="6EFDC602">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nil"/>
            </w:tcBorders>
            <w:shd w:val="clear" w:color="auto" w:fill="auto"/>
            <w:noWrap/>
            <w:vAlign w:val="center"/>
          </w:tcPr>
          <w:p w14:paraId="1995E132">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465" w:type="dxa"/>
            <w:gridSpan w:val="2"/>
            <w:tcBorders>
              <w:top w:val="nil"/>
              <w:left w:val="nil"/>
              <w:bottom w:val="nil"/>
              <w:right w:val="nil"/>
            </w:tcBorders>
            <w:shd w:val="clear" w:color="auto" w:fill="auto"/>
            <w:noWrap/>
            <w:vAlign w:val="center"/>
          </w:tcPr>
          <w:p w14:paraId="367B1297">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260" w:type="dxa"/>
            <w:tcBorders>
              <w:top w:val="nil"/>
              <w:left w:val="nil"/>
              <w:bottom w:val="nil"/>
              <w:right w:val="nil"/>
            </w:tcBorders>
            <w:shd w:val="clear" w:color="auto" w:fill="auto"/>
            <w:noWrap/>
            <w:vAlign w:val="center"/>
          </w:tcPr>
          <w:p w14:paraId="61C72D96">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630" w:type="dxa"/>
            <w:tcBorders>
              <w:top w:val="nil"/>
              <w:left w:val="nil"/>
              <w:bottom w:val="nil"/>
              <w:right w:val="nil"/>
            </w:tcBorders>
            <w:shd w:val="clear" w:color="auto" w:fill="auto"/>
            <w:noWrap/>
            <w:vAlign w:val="center"/>
          </w:tcPr>
          <w:p w14:paraId="7A8B500E">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456" w:type="dxa"/>
            <w:tcBorders>
              <w:top w:val="nil"/>
              <w:left w:val="nil"/>
              <w:bottom w:val="nil"/>
              <w:right w:val="single" w:color="auto" w:sz="4" w:space="0"/>
            </w:tcBorders>
            <w:shd w:val="clear" w:color="auto" w:fill="auto"/>
            <w:noWrap/>
            <w:vAlign w:val="center"/>
          </w:tcPr>
          <w:p w14:paraId="2A2D0EBE">
            <w:pPr>
              <w:widowControl/>
              <w:spacing w:line="300" w:lineRule="exact"/>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33F97008">
        <w:tblPrEx>
          <w:tblCellMar>
            <w:top w:w="0" w:type="dxa"/>
            <w:left w:w="108" w:type="dxa"/>
            <w:bottom w:w="0" w:type="dxa"/>
            <w:right w:w="108" w:type="dxa"/>
          </w:tblCellMar>
        </w:tblPrEx>
        <w:trPr>
          <w:trHeight w:val="499" w:hRule="atLeast"/>
        </w:trPr>
        <w:tc>
          <w:tcPr>
            <w:tcW w:w="1735" w:type="dxa"/>
            <w:gridSpan w:val="2"/>
            <w:vMerge w:val="continue"/>
            <w:tcBorders>
              <w:top w:val="nil"/>
              <w:left w:val="single" w:color="auto" w:sz="4" w:space="0"/>
              <w:bottom w:val="nil"/>
              <w:right w:val="single" w:color="auto" w:sz="4" w:space="0"/>
            </w:tcBorders>
            <w:shd w:val="clear" w:color="auto" w:fill="auto"/>
            <w:noWrap w:val="0"/>
            <w:vAlign w:val="center"/>
          </w:tcPr>
          <w:p w14:paraId="7751ED50">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p>
        </w:tc>
        <w:tc>
          <w:tcPr>
            <w:tcW w:w="540" w:type="dxa"/>
            <w:tcBorders>
              <w:top w:val="nil"/>
              <w:left w:val="nil"/>
              <w:bottom w:val="nil"/>
              <w:right w:val="nil"/>
            </w:tcBorders>
            <w:shd w:val="clear" w:color="auto" w:fill="auto"/>
            <w:noWrap/>
            <w:vAlign w:val="center"/>
          </w:tcPr>
          <w:p w14:paraId="013C9D34">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2030" w:type="dxa"/>
            <w:tcBorders>
              <w:top w:val="nil"/>
              <w:left w:val="nil"/>
              <w:bottom w:val="nil"/>
              <w:right w:val="nil"/>
            </w:tcBorders>
            <w:shd w:val="clear" w:color="auto" w:fill="auto"/>
            <w:noWrap/>
            <w:vAlign w:val="center"/>
          </w:tcPr>
          <w:p w14:paraId="57F08257">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nil"/>
            </w:tcBorders>
            <w:shd w:val="clear" w:color="auto" w:fill="auto"/>
            <w:noWrap/>
            <w:vAlign w:val="center"/>
          </w:tcPr>
          <w:p w14:paraId="75B24E9C">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465" w:type="dxa"/>
            <w:gridSpan w:val="2"/>
            <w:tcBorders>
              <w:top w:val="nil"/>
              <w:left w:val="nil"/>
              <w:bottom w:val="nil"/>
              <w:right w:val="nil"/>
            </w:tcBorders>
            <w:shd w:val="clear" w:color="auto" w:fill="auto"/>
            <w:noWrap/>
            <w:vAlign w:val="center"/>
          </w:tcPr>
          <w:p w14:paraId="7C17E3FE">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260" w:type="dxa"/>
            <w:tcBorders>
              <w:top w:val="nil"/>
              <w:left w:val="nil"/>
              <w:bottom w:val="nil"/>
              <w:right w:val="nil"/>
            </w:tcBorders>
            <w:shd w:val="clear" w:color="auto" w:fill="auto"/>
            <w:noWrap/>
            <w:vAlign w:val="center"/>
          </w:tcPr>
          <w:p w14:paraId="20154E30">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1630" w:type="dxa"/>
            <w:tcBorders>
              <w:top w:val="nil"/>
              <w:left w:val="nil"/>
              <w:bottom w:val="nil"/>
              <w:right w:val="nil"/>
            </w:tcBorders>
            <w:shd w:val="clear" w:color="auto" w:fill="auto"/>
            <w:noWrap/>
            <w:vAlign w:val="center"/>
          </w:tcPr>
          <w:p w14:paraId="58078A3A">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456" w:type="dxa"/>
            <w:tcBorders>
              <w:top w:val="nil"/>
              <w:left w:val="nil"/>
              <w:bottom w:val="nil"/>
              <w:right w:val="single" w:color="auto" w:sz="4" w:space="0"/>
            </w:tcBorders>
            <w:shd w:val="clear" w:color="auto" w:fill="auto"/>
            <w:noWrap/>
            <w:vAlign w:val="center"/>
          </w:tcPr>
          <w:p w14:paraId="776DDB20">
            <w:pPr>
              <w:widowControl/>
              <w:spacing w:line="300" w:lineRule="exact"/>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35DC749">
        <w:tblPrEx>
          <w:tblCellMar>
            <w:top w:w="0" w:type="dxa"/>
            <w:left w:w="108" w:type="dxa"/>
            <w:bottom w:w="0" w:type="dxa"/>
            <w:right w:w="108" w:type="dxa"/>
          </w:tblCellMar>
        </w:tblPrEx>
        <w:trPr>
          <w:trHeight w:val="402" w:hRule="atLeast"/>
        </w:trPr>
        <w:tc>
          <w:tcPr>
            <w:tcW w:w="1735" w:type="dxa"/>
            <w:gridSpan w:val="2"/>
            <w:tcBorders>
              <w:top w:val="single" w:color="auto" w:sz="4" w:space="0"/>
              <w:left w:val="single" w:color="auto" w:sz="4" w:space="0"/>
              <w:bottom w:val="nil"/>
              <w:right w:val="nil"/>
            </w:tcBorders>
            <w:shd w:val="clear" w:color="auto" w:fill="auto"/>
            <w:noWrap/>
            <w:vAlign w:val="center"/>
          </w:tcPr>
          <w:p w14:paraId="77663D14">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540" w:type="dxa"/>
            <w:tcBorders>
              <w:top w:val="single" w:color="auto" w:sz="4" w:space="0"/>
              <w:left w:val="nil"/>
              <w:bottom w:val="nil"/>
              <w:right w:val="nil"/>
            </w:tcBorders>
            <w:shd w:val="clear" w:color="auto" w:fill="auto"/>
            <w:noWrap/>
            <w:vAlign w:val="center"/>
          </w:tcPr>
          <w:p w14:paraId="66EEA72D">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030" w:type="dxa"/>
            <w:tcBorders>
              <w:top w:val="single" w:color="auto" w:sz="4" w:space="0"/>
              <w:left w:val="nil"/>
              <w:bottom w:val="nil"/>
              <w:right w:val="nil"/>
            </w:tcBorders>
            <w:shd w:val="clear" w:color="auto" w:fill="auto"/>
            <w:noWrap/>
            <w:vAlign w:val="center"/>
          </w:tcPr>
          <w:p w14:paraId="688F40B2">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735" w:type="dxa"/>
            <w:tcBorders>
              <w:top w:val="single" w:color="auto" w:sz="4" w:space="0"/>
              <w:left w:val="nil"/>
              <w:bottom w:val="nil"/>
              <w:right w:val="single" w:color="auto" w:sz="4" w:space="0"/>
            </w:tcBorders>
            <w:shd w:val="clear" w:color="auto" w:fill="auto"/>
            <w:noWrap/>
            <w:vAlign w:val="center"/>
          </w:tcPr>
          <w:p w14:paraId="061EE5F7">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465" w:type="dxa"/>
            <w:gridSpan w:val="2"/>
            <w:tcBorders>
              <w:top w:val="single" w:color="auto" w:sz="4" w:space="0"/>
              <w:left w:val="nil"/>
              <w:bottom w:val="nil"/>
              <w:right w:val="nil"/>
            </w:tcBorders>
            <w:shd w:val="clear" w:color="auto" w:fill="auto"/>
            <w:noWrap/>
            <w:vAlign w:val="center"/>
          </w:tcPr>
          <w:p w14:paraId="5ABD75B1">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260" w:type="dxa"/>
            <w:tcBorders>
              <w:top w:val="single" w:color="auto" w:sz="4" w:space="0"/>
              <w:left w:val="nil"/>
              <w:bottom w:val="nil"/>
              <w:right w:val="nil"/>
            </w:tcBorders>
            <w:shd w:val="clear" w:color="auto" w:fill="auto"/>
            <w:noWrap/>
            <w:vAlign w:val="center"/>
          </w:tcPr>
          <w:p w14:paraId="3ECB0BB5">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630" w:type="dxa"/>
            <w:tcBorders>
              <w:top w:val="single" w:color="auto" w:sz="4" w:space="0"/>
              <w:left w:val="nil"/>
              <w:bottom w:val="nil"/>
              <w:right w:val="nil"/>
            </w:tcBorders>
            <w:shd w:val="clear" w:color="auto" w:fill="auto"/>
            <w:noWrap/>
            <w:vAlign w:val="center"/>
          </w:tcPr>
          <w:p w14:paraId="01485316">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456" w:type="dxa"/>
            <w:tcBorders>
              <w:top w:val="single" w:color="auto" w:sz="4" w:space="0"/>
              <w:left w:val="nil"/>
              <w:bottom w:val="nil"/>
              <w:right w:val="single" w:color="auto" w:sz="4" w:space="0"/>
            </w:tcBorders>
            <w:shd w:val="clear" w:color="auto" w:fill="auto"/>
            <w:noWrap/>
            <w:vAlign w:val="center"/>
          </w:tcPr>
          <w:p w14:paraId="74EE70F1">
            <w:pPr>
              <w:widowControl/>
              <w:spacing w:line="300" w:lineRule="exact"/>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7683651B">
        <w:tblPrEx>
          <w:tblCellMar>
            <w:top w:w="0" w:type="dxa"/>
            <w:left w:w="108" w:type="dxa"/>
            <w:bottom w:w="0" w:type="dxa"/>
            <w:right w:w="108" w:type="dxa"/>
          </w:tblCellMar>
        </w:tblPrEx>
        <w:trPr>
          <w:trHeight w:val="402" w:hRule="atLeast"/>
        </w:trPr>
        <w:tc>
          <w:tcPr>
            <w:tcW w:w="1735" w:type="dxa"/>
            <w:gridSpan w:val="2"/>
            <w:tcBorders>
              <w:top w:val="nil"/>
              <w:left w:val="single" w:color="auto" w:sz="4" w:space="0"/>
              <w:bottom w:val="nil"/>
              <w:right w:val="nil"/>
            </w:tcBorders>
            <w:shd w:val="clear" w:color="auto" w:fill="auto"/>
            <w:noWrap/>
            <w:vAlign w:val="center"/>
          </w:tcPr>
          <w:p w14:paraId="704185BA">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规划发展部</w:t>
            </w:r>
          </w:p>
        </w:tc>
        <w:tc>
          <w:tcPr>
            <w:tcW w:w="540" w:type="dxa"/>
            <w:tcBorders>
              <w:top w:val="nil"/>
              <w:left w:val="nil"/>
              <w:bottom w:val="nil"/>
              <w:right w:val="nil"/>
            </w:tcBorders>
            <w:shd w:val="clear" w:color="auto" w:fill="auto"/>
            <w:noWrap/>
            <w:vAlign w:val="center"/>
          </w:tcPr>
          <w:p w14:paraId="4F745E89">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2030" w:type="dxa"/>
            <w:tcBorders>
              <w:top w:val="nil"/>
              <w:left w:val="nil"/>
              <w:bottom w:val="nil"/>
              <w:right w:val="nil"/>
            </w:tcBorders>
            <w:shd w:val="clear" w:color="auto" w:fill="auto"/>
            <w:noWrap/>
            <w:vAlign w:val="center"/>
          </w:tcPr>
          <w:p w14:paraId="4C430854">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single" w:color="auto" w:sz="4" w:space="0"/>
            </w:tcBorders>
            <w:shd w:val="clear" w:color="auto" w:fill="auto"/>
            <w:noWrap/>
            <w:vAlign w:val="center"/>
          </w:tcPr>
          <w:p w14:paraId="2FCC7100">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725" w:type="dxa"/>
            <w:gridSpan w:val="3"/>
            <w:tcBorders>
              <w:top w:val="nil"/>
              <w:left w:val="single" w:color="auto" w:sz="4" w:space="0"/>
              <w:bottom w:val="nil"/>
              <w:right w:val="nil"/>
            </w:tcBorders>
            <w:shd w:val="clear" w:color="auto" w:fill="auto"/>
            <w:noWrap/>
            <w:vAlign w:val="center"/>
          </w:tcPr>
          <w:p w14:paraId="15C1E4D9">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*****部（签章）</w:t>
            </w:r>
          </w:p>
        </w:tc>
        <w:tc>
          <w:tcPr>
            <w:tcW w:w="1630" w:type="dxa"/>
            <w:tcBorders>
              <w:top w:val="nil"/>
              <w:left w:val="nil"/>
              <w:bottom w:val="nil"/>
              <w:right w:val="nil"/>
            </w:tcBorders>
            <w:shd w:val="clear" w:color="auto" w:fill="auto"/>
            <w:noWrap/>
            <w:vAlign w:val="center"/>
          </w:tcPr>
          <w:p w14:paraId="31E5DCC1">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p>
        </w:tc>
        <w:tc>
          <w:tcPr>
            <w:tcW w:w="456" w:type="dxa"/>
            <w:tcBorders>
              <w:top w:val="nil"/>
              <w:left w:val="nil"/>
              <w:bottom w:val="nil"/>
              <w:right w:val="single" w:color="auto" w:sz="4" w:space="0"/>
            </w:tcBorders>
            <w:shd w:val="clear" w:color="auto" w:fill="auto"/>
            <w:noWrap/>
            <w:vAlign w:val="center"/>
          </w:tcPr>
          <w:p w14:paraId="0B31521B">
            <w:pPr>
              <w:widowControl/>
              <w:spacing w:line="300" w:lineRule="exact"/>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4C5F32AD">
        <w:tblPrEx>
          <w:tblCellMar>
            <w:top w:w="0" w:type="dxa"/>
            <w:left w:w="108" w:type="dxa"/>
            <w:bottom w:w="0" w:type="dxa"/>
            <w:right w:w="108" w:type="dxa"/>
          </w:tblCellMar>
        </w:tblPrEx>
        <w:trPr>
          <w:trHeight w:val="288" w:hRule="atLeast"/>
        </w:trPr>
        <w:tc>
          <w:tcPr>
            <w:tcW w:w="1735" w:type="dxa"/>
            <w:gridSpan w:val="2"/>
            <w:tcBorders>
              <w:top w:val="nil"/>
              <w:left w:val="single" w:color="auto" w:sz="4" w:space="0"/>
              <w:bottom w:val="single" w:color="auto" w:sz="4" w:space="0"/>
              <w:right w:val="nil"/>
            </w:tcBorders>
            <w:shd w:val="clear" w:color="auto" w:fill="auto"/>
            <w:noWrap/>
            <w:vAlign w:val="center"/>
          </w:tcPr>
          <w:p w14:paraId="20045FCA">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540" w:type="dxa"/>
            <w:tcBorders>
              <w:top w:val="nil"/>
              <w:left w:val="nil"/>
              <w:bottom w:val="single" w:color="auto" w:sz="4" w:space="0"/>
              <w:right w:val="nil"/>
            </w:tcBorders>
            <w:shd w:val="clear" w:color="auto" w:fill="auto"/>
            <w:noWrap/>
            <w:vAlign w:val="center"/>
          </w:tcPr>
          <w:p w14:paraId="5C1D58EE">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030" w:type="dxa"/>
            <w:tcBorders>
              <w:top w:val="nil"/>
              <w:left w:val="nil"/>
              <w:bottom w:val="single" w:color="auto" w:sz="4" w:space="0"/>
              <w:right w:val="nil"/>
            </w:tcBorders>
            <w:shd w:val="clear" w:color="auto" w:fill="auto"/>
            <w:noWrap/>
            <w:vAlign w:val="center"/>
          </w:tcPr>
          <w:p w14:paraId="358A17DF">
            <w:pPr>
              <w:widowControl/>
              <w:spacing w:line="300" w:lineRule="exac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年</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月</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日</w:t>
            </w:r>
          </w:p>
        </w:tc>
        <w:tc>
          <w:tcPr>
            <w:tcW w:w="735" w:type="dxa"/>
            <w:tcBorders>
              <w:top w:val="nil"/>
              <w:left w:val="nil"/>
              <w:bottom w:val="single" w:color="auto" w:sz="4" w:space="0"/>
              <w:right w:val="single" w:color="auto" w:sz="4" w:space="0"/>
            </w:tcBorders>
            <w:shd w:val="clear" w:color="auto" w:fill="auto"/>
            <w:noWrap/>
            <w:vAlign w:val="center"/>
          </w:tcPr>
          <w:p w14:paraId="588D097A">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465" w:type="dxa"/>
            <w:gridSpan w:val="2"/>
            <w:tcBorders>
              <w:top w:val="nil"/>
              <w:left w:val="nil"/>
              <w:bottom w:val="single" w:color="auto" w:sz="4" w:space="0"/>
              <w:right w:val="nil"/>
            </w:tcBorders>
            <w:shd w:val="clear" w:color="auto" w:fill="auto"/>
            <w:noWrap/>
            <w:vAlign w:val="center"/>
          </w:tcPr>
          <w:p w14:paraId="6477CDDD">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260" w:type="dxa"/>
            <w:tcBorders>
              <w:top w:val="nil"/>
              <w:left w:val="nil"/>
              <w:bottom w:val="single" w:color="auto" w:sz="4" w:space="0"/>
              <w:right w:val="nil"/>
            </w:tcBorders>
            <w:shd w:val="clear" w:color="auto" w:fill="auto"/>
            <w:noWrap/>
            <w:vAlign w:val="center"/>
          </w:tcPr>
          <w:p w14:paraId="28C11D24">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630" w:type="dxa"/>
            <w:tcBorders>
              <w:top w:val="nil"/>
              <w:left w:val="nil"/>
              <w:bottom w:val="single" w:color="auto" w:sz="4" w:space="0"/>
              <w:right w:val="nil"/>
            </w:tcBorders>
            <w:shd w:val="clear" w:color="auto" w:fill="auto"/>
            <w:noWrap/>
            <w:vAlign w:val="center"/>
          </w:tcPr>
          <w:p w14:paraId="4A9F68AD">
            <w:pPr>
              <w:widowControl/>
              <w:spacing w:line="300" w:lineRule="exac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年</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月</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日</w:t>
            </w:r>
          </w:p>
        </w:tc>
        <w:tc>
          <w:tcPr>
            <w:tcW w:w="456" w:type="dxa"/>
            <w:tcBorders>
              <w:top w:val="nil"/>
              <w:left w:val="nil"/>
              <w:bottom w:val="single" w:color="auto" w:sz="4" w:space="0"/>
              <w:right w:val="single" w:color="auto" w:sz="4" w:space="0"/>
            </w:tcBorders>
            <w:shd w:val="clear" w:color="auto" w:fill="auto"/>
            <w:noWrap/>
            <w:vAlign w:val="center"/>
          </w:tcPr>
          <w:p w14:paraId="0D2D8476">
            <w:pPr>
              <w:widowControl/>
              <w:spacing w:line="300" w:lineRule="exact"/>
              <w:rPr>
                <w:rFonts w:hint="eastAsia" w:ascii="宋体" w:hAnsi="宋体" w:cs="宋体"/>
                <w:color w:val="000000" w:themeColor="text1"/>
                <w:kern w:val="0"/>
                <w:sz w:val="20"/>
                <w:szCs w:val="20"/>
                <w14:textFill>
                  <w14:solidFill>
                    <w14:schemeClr w14:val="tx1"/>
                  </w14:solidFill>
                </w14:textFill>
              </w:rPr>
            </w:pPr>
          </w:p>
        </w:tc>
      </w:tr>
      <w:tr w14:paraId="32DD84BD">
        <w:tblPrEx>
          <w:tblCellMar>
            <w:top w:w="0" w:type="dxa"/>
            <w:left w:w="108" w:type="dxa"/>
            <w:bottom w:w="0" w:type="dxa"/>
            <w:right w:w="108" w:type="dxa"/>
          </w:tblCellMar>
        </w:tblPrEx>
        <w:trPr>
          <w:trHeight w:val="402" w:hRule="atLeast"/>
        </w:trPr>
        <w:tc>
          <w:tcPr>
            <w:tcW w:w="1735" w:type="dxa"/>
            <w:gridSpan w:val="2"/>
            <w:tcBorders>
              <w:top w:val="nil"/>
              <w:left w:val="single" w:color="auto" w:sz="4" w:space="0"/>
              <w:bottom w:val="nil"/>
              <w:right w:val="nil"/>
            </w:tcBorders>
            <w:shd w:val="clear" w:color="auto" w:fill="auto"/>
            <w:noWrap/>
            <w:vAlign w:val="center"/>
          </w:tcPr>
          <w:p w14:paraId="5064606A">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540" w:type="dxa"/>
            <w:tcBorders>
              <w:top w:val="nil"/>
              <w:left w:val="nil"/>
              <w:bottom w:val="nil"/>
              <w:right w:val="nil"/>
            </w:tcBorders>
            <w:shd w:val="clear" w:color="auto" w:fill="auto"/>
            <w:noWrap/>
            <w:vAlign w:val="center"/>
          </w:tcPr>
          <w:p w14:paraId="58A725F0">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030" w:type="dxa"/>
            <w:tcBorders>
              <w:top w:val="nil"/>
              <w:left w:val="nil"/>
              <w:bottom w:val="nil"/>
              <w:right w:val="nil"/>
            </w:tcBorders>
            <w:shd w:val="clear" w:color="auto" w:fill="auto"/>
            <w:noWrap/>
            <w:vAlign w:val="center"/>
          </w:tcPr>
          <w:p w14:paraId="737B23E8">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735" w:type="dxa"/>
            <w:tcBorders>
              <w:top w:val="nil"/>
              <w:left w:val="nil"/>
              <w:bottom w:val="nil"/>
              <w:right w:val="single" w:color="auto" w:sz="4" w:space="0"/>
            </w:tcBorders>
            <w:shd w:val="clear" w:color="auto" w:fill="auto"/>
            <w:noWrap/>
            <w:vAlign w:val="center"/>
          </w:tcPr>
          <w:p w14:paraId="4A126057">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465" w:type="dxa"/>
            <w:gridSpan w:val="2"/>
            <w:tcBorders>
              <w:top w:val="nil"/>
              <w:left w:val="nil"/>
              <w:bottom w:val="nil"/>
              <w:right w:val="nil"/>
            </w:tcBorders>
            <w:shd w:val="clear" w:color="auto" w:fill="auto"/>
            <w:noWrap/>
            <w:vAlign w:val="center"/>
          </w:tcPr>
          <w:p w14:paraId="0D4F7A4B">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260" w:type="dxa"/>
            <w:tcBorders>
              <w:top w:val="nil"/>
              <w:left w:val="nil"/>
              <w:bottom w:val="nil"/>
              <w:right w:val="nil"/>
            </w:tcBorders>
            <w:shd w:val="clear" w:color="auto" w:fill="auto"/>
            <w:noWrap/>
            <w:vAlign w:val="center"/>
          </w:tcPr>
          <w:p w14:paraId="1A1BDF37">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630" w:type="dxa"/>
            <w:tcBorders>
              <w:top w:val="nil"/>
              <w:left w:val="nil"/>
              <w:bottom w:val="nil"/>
              <w:right w:val="nil"/>
            </w:tcBorders>
            <w:shd w:val="clear" w:color="auto" w:fill="auto"/>
            <w:noWrap/>
            <w:vAlign w:val="center"/>
          </w:tcPr>
          <w:p w14:paraId="4D63CF40">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456" w:type="dxa"/>
            <w:tcBorders>
              <w:top w:val="nil"/>
              <w:left w:val="nil"/>
              <w:bottom w:val="nil"/>
              <w:right w:val="single" w:color="auto" w:sz="4" w:space="0"/>
            </w:tcBorders>
            <w:shd w:val="clear" w:color="auto" w:fill="auto"/>
            <w:noWrap/>
            <w:vAlign w:val="center"/>
          </w:tcPr>
          <w:p w14:paraId="010C1A11">
            <w:pPr>
              <w:widowControl/>
              <w:spacing w:line="300" w:lineRule="exact"/>
              <w:jc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w:t>
            </w:r>
          </w:p>
        </w:tc>
      </w:tr>
      <w:tr w14:paraId="3BD97C28">
        <w:tblPrEx>
          <w:tblCellMar>
            <w:top w:w="0" w:type="dxa"/>
            <w:left w:w="108" w:type="dxa"/>
            <w:bottom w:w="0" w:type="dxa"/>
            <w:right w:w="108" w:type="dxa"/>
          </w:tblCellMar>
        </w:tblPrEx>
        <w:trPr>
          <w:trHeight w:val="402" w:hRule="atLeast"/>
        </w:trPr>
        <w:tc>
          <w:tcPr>
            <w:tcW w:w="2275" w:type="dxa"/>
            <w:gridSpan w:val="3"/>
            <w:tcBorders>
              <w:top w:val="nil"/>
              <w:left w:val="single" w:color="auto" w:sz="4" w:space="0"/>
              <w:bottom w:val="nil"/>
              <w:right w:val="nil"/>
            </w:tcBorders>
            <w:shd w:val="clear" w:color="auto" w:fill="auto"/>
            <w:noWrap/>
            <w:vAlign w:val="center"/>
          </w:tcPr>
          <w:p w14:paraId="076CAF5B">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资产财务部（签章）</w:t>
            </w:r>
          </w:p>
        </w:tc>
        <w:tc>
          <w:tcPr>
            <w:tcW w:w="2030" w:type="dxa"/>
            <w:tcBorders>
              <w:top w:val="nil"/>
              <w:left w:val="nil"/>
              <w:bottom w:val="nil"/>
              <w:right w:val="nil"/>
            </w:tcBorders>
            <w:shd w:val="clear" w:color="auto" w:fill="auto"/>
            <w:noWrap/>
            <w:vAlign w:val="center"/>
          </w:tcPr>
          <w:p w14:paraId="4F29707C">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single" w:color="auto" w:sz="4" w:space="0"/>
            </w:tcBorders>
            <w:shd w:val="clear" w:color="auto" w:fill="auto"/>
            <w:noWrap/>
            <w:vAlign w:val="center"/>
          </w:tcPr>
          <w:p w14:paraId="0D7460C5">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725" w:type="dxa"/>
            <w:gridSpan w:val="3"/>
            <w:tcBorders>
              <w:top w:val="nil"/>
              <w:left w:val="single" w:color="auto" w:sz="4" w:space="0"/>
              <w:bottom w:val="nil"/>
              <w:right w:val="nil"/>
            </w:tcBorders>
            <w:shd w:val="clear" w:color="auto" w:fill="auto"/>
            <w:noWrap/>
            <w:vAlign w:val="center"/>
          </w:tcPr>
          <w:p w14:paraId="686226EF">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矿区质监站（签章）</w:t>
            </w:r>
          </w:p>
        </w:tc>
        <w:tc>
          <w:tcPr>
            <w:tcW w:w="1630" w:type="dxa"/>
            <w:tcBorders>
              <w:top w:val="nil"/>
              <w:left w:val="nil"/>
              <w:bottom w:val="nil"/>
              <w:right w:val="nil"/>
            </w:tcBorders>
            <w:shd w:val="clear" w:color="auto" w:fill="auto"/>
            <w:noWrap/>
            <w:vAlign w:val="center"/>
          </w:tcPr>
          <w:p w14:paraId="05FBD20A">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p>
        </w:tc>
        <w:tc>
          <w:tcPr>
            <w:tcW w:w="456" w:type="dxa"/>
            <w:tcBorders>
              <w:top w:val="nil"/>
              <w:left w:val="nil"/>
              <w:bottom w:val="nil"/>
              <w:right w:val="single" w:color="auto" w:sz="4" w:space="0"/>
            </w:tcBorders>
            <w:shd w:val="clear" w:color="auto" w:fill="auto"/>
            <w:noWrap/>
            <w:vAlign w:val="center"/>
          </w:tcPr>
          <w:p w14:paraId="284F228B">
            <w:pPr>
              <w:widowControl/>
              <w:spacing w:line="30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w:t>
            </w:r>
          </w:p>
        </w:tc>
      </w:tr>
      <w:tr w14:paraId="0FB807B3">
        <w:tblPrEx>
          <w:tblCellMar>
            <w:top w:w="0" w:type="dxa"/>
            <w:left w:w="108" w:type="dxa"/>
            <w:bottom w:w="0" w:type="dxa"/>
            <w:right w:w="108" w:type="dxa"/>
          </w:tblCellMar>
        </w:tblPrEx>
        <w:trPr>
          <w:trHeight w:val="260" w:hRule="atLeast"/>
        </w:trPr>
        <w:tc>
          <w:tcPr>
            <w:tcW w:w="1735" w:type="dxa"/>
            <w:gridSpan w:val="2"/>
            <w:tcBorders>
              <w:top w:val="nil"/>
              <w:left w:val="single" w:color="auto" w:sz="4" w:space="0"/>
              <w:bottom w:val="single" w:color="auto" w:sz="4" w:space="0"/>
              <w:right w:val="nil"/>
            </w:tcBorders>
            <w:shd w:val="clear" w:color="auto" w:fill="auto"/>
            <w:noWrap/>
            <w:vAlign w:val="center"/>
          </w:tcPr>
          <w:p w14:paraId="0DD52D84">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540" w:type="dxa"/>
            <w:tcBorders>
              <w:top w:val="nil"/>
              <w:left w:val="nil"/>
              <w:bottom w:val="single" w:color="auto" w:sz="4" w:space="0"/>
              <w:right w:val="nil"/>
            </w:tcBorders>
            <w:shd w:val="clear" w:color="auto" w:fill="auto"/>
            <w:noWrap/>
            <w:vAlign w:val="center"/>
          </w:tcPr>
          <w:p w14:paraId="1D9C0DAB">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030" w:type="dxa"/>
            <w:tcBorders>
              <w:top w:val="nil"/>
              <w:left w:val="nil"/>
              <w:bottom w:val="single" w:color="auto" w:sz="4" w:space="0"/>
              <w:right w:val="nil"/>
            </w:tcBorders>
            <w:shd w:val="clear" w:color="auto" w:fill="auto"/>
            <w:noWrap/>
            <w:vAlign w:val="center"/>
          </w:tcPr>
          <w:p w14:paraId="4AAEA52F">
            <w:pPr>
              <w:widowControl/>
              <w:spacing w:line="300" w:lineRule="exac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年</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月</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日</w:t>
            </w:r>
          </w:p>
        </w:tc>
        <w:tc>
          <w:tcPr>
            <w:tcW w:w="735" w:type="dxa"/>
            <w:tcBorders>
              <w:top w:val="nil"/>
              <w:left w:val="nil"/>
              <w:bottom w:val="single" w:color="auto" w:sz="4" w:space="0"/>
              <w:right w:val="single" w:color="auto" w:sz="4" w:space="0"/>
            </w:tcBorders>
            <w:shd w:val="clear" w:color="auto" w:fill="auto"/>
            <w:noWrap/>
            <w:vAlign w:val="center"/>
          </w:tcPr>
          <w:p w14:paraId="5BB84CEC">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465" w:type="dxa"/>
            <w:gridSpan w:val="2"/>
            <w:tcBorders>
              <w:top w:val="nil"/>
              <w:left w:val="nil"/>
              <w:bottom w:val="single" w:color="auto" w:sz="4" w:space="0"/>
              <w:right w:val="nil"/>
            </w:tcBorders>
            <w:shd w:val="clear" w:color="auto" w:fill="auto"/>
            <w:noWrap/>
            <w:vAlign w:val="center"/>
          </w:tcPr>
          <w:p w14:paraId="64881125">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1260" w:type="dxa"/>
            <w:tcBorders>
              <w:top w:val="nil"/>
              <w:left w:val="nil"/>
              <w:bottom w:val="single" w:color="auto" w:sz="4" w:space="0"/>
              <w:right w:val="nil"/>
            </w:tcBorders>
            <w:shd w:val="clear" w:color="auto" w:fill="auto"/>
            <w:noWrap/>
            <w:vAlign w:val="center"/>
          </w:tcPr>
          <w:p w14:paraId="4F246557">
            <w:pPr>
              <w:widowControl/>
              <w:spacing w:line="300" w:lineRule="exact"/>
              <w:jc w:val="center"/>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　</w:t>
            </w:r>
          </w:p>
        </w:tc>
        <w:tc>
          <w:tcPr>
            <w:tcW w:w="2086" w:type="dxa"/>
            <w:gridSpan w:val="2"/>
            <w:tcBorders>
              <w:top w:val="nil"/>
              <w:left w:val="nil"/>
              <w:bottom w:val="single" w:color="auto" w:sz="4" w:space="0"/>
              <w:right w:val="single" w:color="000000" w:sz="4" w:space="0"/>
            </w:tcBorders>
            <w:shd w:val="clear" w:color="auto" w:fill="auto"/>
            <w:noWrap/>
            <w:vAlign w:val="center"/>
          </w:tcPr>
          <w:p w14:paraId="0A04E3E8">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年</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月</w:t>
            </w:r>
            <w:r>
              <w:rPr>
                <w:rFonts w:hint="eastAsia" w:ascii="仿宋_GB2312" w:eastAsia="仿宋_GB2312"/>
                <w:color w:val="000000" w:themeColor="text1"/>
                <w:kern w:val="0"/>
                <w:szCs w:val="21"/>
                <w14:textFill>
                  <w14:solidFill>
                    <w14:schemeClr w14:val="tx1"/>
                  </w14:solidFill>
                </w14:textFill>
              </w:rPr>
              <w:t xml:space="preserve">   </w:t>
            </w:r>
            <w:r>
              <w:rPr>
                <w:rFonts w:hint="eastAsia" w:ascii="仿宋_GB2312" w:hAnsi="宋体" w:eastAsia="仿宋_GB2312" w:cs="宋体"/>
                <w:color w:val="000000" w:themeColor="text1"/>
                <w:kern w:val="0"/>
                <w:szCs w:val="21"/>
                <w14:textFill>
                  <w14:solidFill>
                    <w14:schemeClr w14:val="tx1"/>
                  </w14:solidFill>
                </w14:textFill>
              </w:rPr>
              <w:t>日</w:t>
            </w:r>
          </w:p>
        </w:tc>
      </w:tr>
      <w:tr w14:paraId="21FAB916">
        <w:tblPrEx>
          <w:tblCellMar>
            <w:top w:w="0" w:type="dxa"/>
            <w:left w:w="108" w:type="dxa"/>
            <w:bottom w:w="0" w:type="dxa"/>
            <w:right w:w="108" w:type="dxa"/>
          </w:tblCellMar>
        </w:tblPrEx>
        <w:trPr>
          <w:trHeight w:val="402" w:hRule="atLeast"/>
        </w:trPr>
        <w:tc>
          <w:tcPr>
            <w:tcW w:w="1735" w:type="dxa"/>
            <w:gridSpan w:val="2"/>
            <w:tcBorders>
              <w:top w:val="nil"/>
              <w:left w:val="nil"/>
              <w:bottom w:val="nil"/>
              <w:right w:val="nil"/>
            </w:tcBorders>
            <w:shd w:val="clear" w:color="auto" w:fill="auto"/>
            <w:noWrap/>
            <w:vAlign w:val="center"/>
          </w:tcPr>
          <w:p w14:paraId="470ABCB9">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540" w:type="dxa"/>
            <w:tcBorders>
              <w:top w:val="nil"/>
              <w:left w:val="nil"/>
              <w:bottom w:val="nil"/>
              <w:right w:val="nil"/>
            </w:tcBorders>
            <w:shd w:val="clear" w:color="auto" w:fill="auto"/>
            <w:noWrap/>
            <w:vAlign w:val="bottom"/>
          </w:tcPr>
          <w:p w14:paraId="453E7E40">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2030" w:type="dxa"/>
            <w:tcBorders>
              <w:top w:val="nil"/>
              <w:left w:val="nil"/>
              <w:bottom w:val="nil"/>
              <w:right w:val="nil"/>
            </w:tcBorders>
            <w:shd w:val="clear" w:color="auto" w:fill="auto"/>
            <w:noWrap/>
            <w:vAlign w:val="bottom"/>
          </w:tcPr>
          <w:p w14:paraId="3FE51DE1">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nil"/>
            </w:tcBorders>
            <w:shd w:val="clear" w:color="auto" w:fill="auto"/>
            <w:noWrap/>
            <w:vAlign w:val="bottom"/>
          </w:tcPr>
          <w:p w14:paraId="1CBE810D">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1465" w:type="dxa"/>
            <w:gridSpan w:val="2"/>
            <w:tcBorders>
              <w:top w:val="nil"/>
              <w:left w:val="nil"/>
              <w:bottom w:val="nil"/>
              <w:right w:val="nil"/>
            </w:tcBorders>
            <w:shd w:val="clear" w:color="auto" w:fill="auto"/>
            <w:noWrap/>
            <w:vAlign w:val="bottom"/>
          </w:tcPr>
          <w:p w14:paraId="797F8B24">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1260" w:type="dxa"/>
            <w:tcBorders>
              <w:top w:val="nil"/>
              <w:left w:val="nil"/>
              <w:bottom w:val="nil"/>
              <w:right w:val="nil"/>
            </w:tcBorders>
            <w:shd w:val="clear" w:color="auto" w:fill="auto"/>
            <w:noWrap/>
            <w:vAlign w:val="bottom"/>
          </w:tcPr>
          <w:p w14:paraId="6B8F9FFA">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1630" w:type="dxa"/>
            <w:tcBorders>
              <w:top w:val="nil"/>
              <w:left w:val="nil"/>
              <w:bottom w:val="nil"/>
              <w:right w:val="nil"/>
            </w:tcBorders>
            <w:shd w:val="clear" w:color="auto" w:fill="auto"/>
            <w:noWrap/>
            <w:vAlign w:val="bottom"/>
          </w:tcPr>
          <w:p w14:paraId="2BB558FF">
            <w:pPr>
              <w:widowControl/>
              <w:jc w:val="left"/>
              <w:rPr>
                <w:rFonts w:hint="eastAsia" w:ascii="仿宋_GB2312" w:hAnsi="宋体" w:eastAsia="仿宋_GB2312" w:cs="宋体"/>
                <w:color w:val="000000" w:themeColor="text1"/>
                <w:kern w:val="0"/>
                <w:szCs w:val="21"/>
                <w14:textFill>
                  <w14:solidFill>
                    <w14:schemeClr w14:val="tx1"/>
                  </w14:solidFill>
                </w14:textFill>
              </w:rPr>
            </w:pPr>
          </w:p>
        </w:tc>
        <w:tc>
          <w:tcPr>
            <w:tcW w:w="456" w:type="dxa"/>
            <w:tcBorders>
              <w:top w:val="nil"/>
              <w:left w:val="nil"/>
              <w:bottom w:val="nil"/>
              <w:right w:val="nil"/>
            </w:tcBorders>
            <w:shd w:val="clear" w:color="auto" w:fill="auto"/>
            <w:noWrap/>
            <w:vAlign w:val="bottom"/>
          </w:tcPr>
          <w:p w14:paraId="6373A215">
            <w:pPr>
              <w:widowControl/>
              <w:jc w:val="left"/>
              <w:rPr>
                <w:rFonts w:ascii="宋体" w:hAnsi="宋体" w:cs="宋体"/>
                <w:color w:val="000000" w:themeColor="text1"/>
                <w:kern w:val="0"/>
                <w:sz w:val="24"/>
                <w14:textFill>
                  <w14:solidFill>
                    <w14:schemeClr w14:val="tx1"/>
                  </w14:solidFill>
                </w14:textFill>
              </w:rPr>
            </w:pPr>
          </w:p>
        </w:tc>
      </w:tr>
      <w:tr w14:paraId="49E0E5B0">
        <w:tblPrEx>
          <w:tblCellMar>
            <w:top w:w="0" w:type="dxa"/>
            <w:left w:w="108" w:type="dxa"/>
            <w:bottom w:w="0" w:type="dxa"/>
            <w:right w:w="108" w:type="dxa"/>
          </w:tblCellMar>
        </w:tblPrEx>
        <w:trPr>
          <w:trHeight w:val="319" w:hRule="atLeast"/>
        </w:trPr>
        <w:tc>
          <w:tcPr>
            <w:tcW w:w="4305" w:type="dxa"/>
            <w:gridSpan w:val="4"/>
            <w:tcBorders>
              <w:top w:val="nil"/>
              <w:left w:val="nil"/>
              <w:bottom w:val="nil"/>
              <w:right w:val="nil"/>
            </w:tcBorders>
            <w:shd w:val="clear" w:color="auto" w:fill="auto"/>
            <w:noWrap/>
            <w:vAlign w:val="center"/>
          </w:tcPr>
          <w:p w14:paraId="45FA89C8">
            <w:pPr>
              <w:widowControl/>
              <w:spacing w:line="300" w:lineRule="exact"/>
              <w:ind w:leftChars="-51" w:hanging="107" w:hangingChars="51"/>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填报单位（公章）：</w:t>
            </w:r>
          </w:p>
          <w:p w14:paraId="3CEE914C">
            <w:pPr>
              <w:widowControl/>
              <w:spacing w:line="300" w:lineRule="exact"/>
              <w:ind w:leftChars="-51" w:hanging="107" w:hangingChars="51"/>
              <w:jc w:val="left"/>
              <w:rPr>
                <w:rFonts w:hint="eastAsia" w:ascii="仿宋_GB2312" w:hAnsi="宋体" w:eastAsia="仿宋_GB2312" w:cs="宋体"/>
                <w:color w:val="000000" w:themeColor="text1"/>
                <w:kern w:val="0"/>
                <w:szCs w:val="21"/>
                <w14:textFill>
                  <w14:solidFill>
                    <w14:schemeClr w14:val="tx1"/>
                  </w14:solidFill>
                </w14:textFill>
              </w:rPr>
            </w:pPr>
          </w:p>
          <w:p w14:paraId="3569288A">
            <w:pPr>
              <w:widowControl/>
              <w:spacing w:line="300" w:lineRule="exact"/>
              <w:ind w:leftChars="-51" w:hanging="107" w:hangingChars="51"/>
              <w:jc w:val="left"/>
              <w:rPr>
                <w:rFonts w:hint="eastAsia" w:ascii="仿宋_GB2312" w:hAnsi="宋体" w:eastAsia="仿宋_GB2312" w:cs="宋体"/>
                <w:color w:val="000000" w:themeColor="text1"/>
                <w:kern w:val="0"/>
                <w:szCs w:val="21"/>
                <w14:textFill>
                  <w14:solidFill>
                    <w14:schemeClr w14:val="tx1"/>
                  </w14:solidFill>
                </w14:textFill>
              </w:rPr>
            </w:pPr>
          </w:p>
        </w:tc>
        <w:tc>
          <w:tcPr>
            <w:tcW w:w="735" w:type="dxa"/>
            <w:tcBorders>
              <w:top w:val="nil"/>
              <w:left w:val="nil"/>
              <w:bottom w:val="nil"/>
              <w:right w:val="nil"/>
            </w:tcBorders>
            <w:shd w:val="clear" w:color="auto" w:fill="auto"/>
            <w:noWrap/>
            <w:vAlign w:val="bottom"/>
          </w:tcPr>
          <w:p w14:paraId="415F703E">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p>
        </w:tc>
        <w:tc>
          <w:tcPr>
            <w:tcW w:w="1465" w:type="dxa"/>
            <w:gridSpan w:val="2"/>
            <w:tcBorders>
              <w:top w:val="nil"/>
              <w:left w:val="nil"/>
              <w:bottom w:val="nil"/>
              <w:right w:val="nil"/>
            </w:tcBorders>
            <w:shd w:val="clear" w:color="auto" w:fill="auto"/>
            <w:noWrap/>
            <w:vAlign w:val="bottom"/>
          </w:tcPr>
          <w:p w14:paraId="07601553">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负责人：</w:t>
            </w:r>
          </w:p>
        </w:tc>
        <w:tc>
          <w:tcPr>
            <w:tcW w:w="1260" w:type="dxa"/>
            <w:tcBorders>
              <w:top w:val="nil"/>
              <w:left w:val="nil"/>
              <w:bottom w:val="nil"/>
              <w:right w:val="nil"/>
            </w:tcBorders>
            <w:shd w:val="clear" w:color="auto" w:fill="auto"/>
            <w:noWrap/>
            <w:vAlign w:val="bottom"/>
          </w:tcPr>
          <w:p w14:paraId="459916ED">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p>
        </w:tc>
        <w:tc>
          <w:tcPr>
            <w:tcW w:w="1630" w:type="dxa"/>
            <w:tcBorders>
              <w:top w:val="nil"/>
              <w:left w:val="nil"/>
              <w:bottom w:val="nil"/>
              <w:right w:val="nil"/>
            </w:tcBorders>
            <w:shd w:val="clear" w:color="auto" w:fill="auto"/>
            <w:noWrap/>
            <w:vAlign w:val="bottom"/>
          </w:tcPr>
          <w:p w14:paraId="649C74A5">
            <w:pPr>
              <w:widowControl/>
              <w:spacing w:line="300" w:lineRule="exact"/>
              <w:jc w:val="left"/>
              <w:rPr>
                <w:rFonts w:hint="eastAsia" w:ascii="仿宋_GB2312" w:hAnsi="宋体" w:eastAsia="仿宋_GB2312" w:cs="宋体"/>
                <w:color w:val="000000" w:themeColor="text1"/>
                <w:kern w:val="0"/>
                <w:szCs w:val="21"/>
                <w14:textFill>
                  <w14:solidFill>
                    <w14:schemeClr w14:val="tx1"/>
                  </w14:solidFill>
                </w14:textFill>
              </w:rPr>
            </w:pPr>
            <w:r>
              <w:rPr>
                <w:rFonts w:hint="eastAsia" w:ascii="仿宋_GB2312" w:hAnsi="宋体" w:eastAsia="仿宋_GB2312" w:cs="宋体"/>
                <w:color w:val="000000" w:themeColor="text1"/>
                <w:kern w:val="0"/>
                <w:szCs w:val="21"/>
                <w14:textFill>
                  <w14:solidFill>
                    <w14:schemeClr w14:val="tx1"/>
                  </w14:solidFill>
                </w14:textFill>
              </w:rPr>
              <w:t>填表人：</w:t>
            </w:r>
          </w:p>
        </w:tc>
        <w:tc>
          <w:tcPr>
            <w:tcW w:w="456" w:type="dxa"/>
            <w:tcBorders>
              <w:top w:val="nil"/>
              <w:left w:val="nil"/>
              <w:bottom w:val="nil"/>
              <w:right w:val="nil"/>
            </w:tcBorders>
            <w:shd w:val="clear" w:color="auto" w:fill="auto"/>
            <w:noWrap/>
            <w:vAlign w:val="bottom"/>
          </w:tcPr>
          <w:p w14:paraId="6D5F7276">
            <w:pPr>
              <w:widowControl/>
              <w:jc w:val="left"/>
              <w:rPr>
                <w:rFonts w:ascii="楷体_GB2312" w:hAnsi="宋体" w:eastAsia="楷体_GB2312" w:cs="宋体"/>
                <w:color w:val="000000" w:themeColor="text1"/>
                <w:kern w:val="0"/>
                <w:sz w:val="24"/>
                <w14:textFill>
                  <w14:solidFill>
                    <w14:schemeClr w14:val="tx1"/>
                  </w14:solidFill>
                </w14:textFill>
              </w:rPr>
            </w:pPr>
          </w:p>
        </w:tc>
      </w:tr>
    </w:tbl>
    <w:p w14:paraId="44510AA5">
      <w:pPr>
        <w:widowControl/>
        <w:spacing w:line="300" w:lineRule="exact"/>
        <w:ind w:left="-210" w:leftChars="-100"/>
        <w:jc w:val="left"/>
        <w:rPr>
          <w:rFonts w:hint="eastAsia" w:ascii="仿宋_GB2312" w:eastAsia="仿宋_GB2312"/>
          <w:color w:val="000000" w:themeColor="text1"/>
          <w:kern w:val="0"/>
          <w:szCs w:val="21"/>
          <w14:textFill>
            <w14:solidFill>
              <w14:schemeClr w14:val="tx1"/>
            </w14:solidFill>
          </w14:textFill>
        </w:rPr>
      </w:pPr>
      <w:r>
        <w:rPr>
          <w:rFonts w:hint="eastAsia" w:ascii="仿宋_GB2312" w:eastAsia="仿宋_GB2312"/>
          <w:color w:val="000000" w:themeColor="text1"/>
          <w:kern w:val="0"/>
          <w:szCs w:val="21"/>
          <w14:textFill>
            <w14:solidFill>
              <w14:schemeClr w14:val="tx1"/>
            </w14:solidFill>
          </w14:textFill>
        </w:rPr>
        <w:t>填表说明：</w:t>
      </w:r>
    </w:p>
    <w:p w14:paraId="3B343436">
      <w:pPr>
        <w:widowControl/>
        <w:spacing w:line="300" w:lineRule="exact"/>
        <w:ind w:left="-210" w:leftChars="-100" w:firstLine="420" w:firstLineChars="200"/>
        <w:jc w:val="left"/>
        <w:rPr>
          <w:rFonts w:hint="eastAsia" w:ascii="仿宋_GB2312"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1.项目名称是指计划下达的系统工程名称，如选煤厂改造、瓦斯抽放系统等。</w:t>
      </w:r>
    </w:p>
    <w:p w14:paraId="49B4D377">
      <w:pPr>
        <w:widowControl/>
        <w:spacing w:line="300" w:lineRule="exact"/>
        <w:ind w:left="-210" w:leftChars="-100" w:right="-815" w:rightChars="-388" w:firstLine="420" w:firstLineChars="200"/>
        <w:jc w:val="left"/>
        <w:rPr>
          <w:rFonts w:hint="eastAsia" w:ascii="仿宋_GB2312" w:eastAsia="仿宋_GB2312"/>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2.</w:t>
      </w:r>
      <w:r>
        <w:rPr>
          <w:rFonts w:hint="eastAsia" w:ascii="仿宋_GB2312" w:hAnsi="宋体" w:eastAsia="仿宋_GB2312"/>
          <w:color w:val="000000" w:themeColor="text1"/>
          <w:kern w:val="0"/>
          <w:szCs w:val="21"/>
          <w14:textFill>
            <w14:solidFill>
              <w14:schemeClr w14:val="tx1"/>
            </w14:solidFill>
          </w14:textFill>
        </w:rPr>
        <w:t>单位工程名称填写组成系统的矿建、土建、安装主要工程，如主厂房、瓦斯抽放泵站电控设备安装等。</w:t>
      </w:r>
    </w:p>
    <w:p w14:paraId="080F1F51">
      <w:pPr>
        <w:widowControl/>
        <w:spacing w:line="300" w:lineRule="exact"/>
        <w:ind w:left="-210" w:leftChars="-100" w:right="-815" w:rightChars="-388" w:firstLine="420" w:firstLineChars="200"/>
        <w:jc w:val="left"/>
        <w:rPr>
          <w:rFonts w:hint="eastAsia" w:ascii="仿宋_GB2312"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3.计划类别填写基建、技术改造、维简、大修、安全费用、技术开发等。</w:t>
      </w:r>
    </w:p>
    <w:p w14:paraId="3163F25B">
      <w:pPr>
        <w:widowControl/>
        <w:spacing w:line="300" w:lineRule="exact"/>
        <w:ind w:left="-210" w:leftChars="-100" w:right="-815" w:rightChars="-388" w:firstLine="420" w:firstLineChars="200"/>
        <w:jc w:val="left"/>
        <w:rPr>
          <w:rFonts w:hint="eastAsia" w:ascii="仿宋_GB2312"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4.工程技术特征填写以下内容：</w:t>
      </w:r>
    </w:p>
    <w:p w14:paraId="21C23F3B">
      <w:pPr>
        <w:widowControl/>
        <w:spacing w:line="300" w:lineRule="exact"/>
        <w:ind w:left="-210" w:leftChars="-100" w:right="-815" w:rightChars="-388" w:firstLine="420" w:firstLineChars="200"/>
        <w:jc w:val="left"/>
        <w:rPr>
          <w:rFonts w:hint="eastAsia"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土建工程：房屋结构特征如砖混、框架，基础结构特征如钢筋砼</w:t>
      </w:r>
      <w:r>
        <w:rPr>
          <w:rFonts w:hint="eastAsia" w:ascii="仿宋_GB2312" w:hAnsi="宋体" w:eastAsia="仿宋_GB2312"/>
          <w:color w:val="000000" w:themeColor="text1"/>
          <w:kern w:val="0"/>
          <w:szCs w:val="21"/>
          <w:lang w:eastAsia="zh-CN"/>
          <w14:textFill>
            <w14:solidFill>
              <w14:schemeClr w14:val="tx1"/>
            </w14:solidFill>
          </w14:textFill>
        </w:rPr>
        <w:t>条形</w:t>
      </w:r>
      <w:r>
        <w:rPr>
          <w:rFonts w:hint="eastAsia" w:ascii="仿宋_GB2312" w:hAnsi="宋体" w:eastAsia="仿宋_GB2312"/>
          <w:color w:val="000000" w:themeColor="text1"/>
          <w:kern w:val="0"/>
          <w:szCs w:val="21"/>
          <w14:textFill>
            <w14:solidFill>
              <w14:schemeClr w14:val="tx1"/>
            </w14:solidFill>
          </w14:textFill>
        </w:rPr>
        <w:t>基础，基础埋深，墙体特征，楼地面做法，屋面防水做法，内外墙装饰做法，门窗特征，水、电、暖、卫、通讯等配置特征，特殊装饰要求等。</w:t>
      </w:r>
    </w:p>
    <w:p w14:paraId="28B76C07">
      <w:pPr>
        <w:widowControl/>
        <w:spacing w:line="300" w:lineRule="exact"/>
        <w:ind w:left="-210" w:leftChars="-100" w:right="-815" w:rightChars="-388" w:firstLine="420" w:firstLineChars="200"/>
        <w:jc w:val="left"/>
        <w:rPr>
          <w:rFonts w:hint="default" w:ascii="仿宋_GB2312" w:hAnsi="宋体" w:eastAsia="仿宋_GB2312"/>
          <w:color w:val="000000" w:themeColor="text1"/>
          <w:kern w:val="0"/>
          <w:szCs w:val="21"/>
          <w:lang w:val="en-US" w:eastAsia="zh-CN"/>
          <w14:textFill>
            <w14:solidFill>
              <w14:schemeClr w14:val="tx1"/>
            </w14:solidFill>
          </w14:textFill>
        </w:rPr>
      </w:pPr>
      <w:r>
        <w:rPr>
          <w:rFonts w:hint="eastAsia" w:ascii="仿宋_GB2312" w:hAnsi="宋体" w:eastAsia="仿宋_GB2312"/>
          <w:color w:val="000000" w:themeColor="text1"/>
          <w:kern w:val="0"/>
          <w:szCs w:val="21"/>
          <w:lang w:val="en-US" w:eastAsia="zh-CN"/>
          <w14:textFill>
            <w14:solidFill>
              <w14:schemeClr w14:val="tx1"/>
            </w14:solidFill>
          </w14:textFill>
        </w:rPr>
        <w:t>5.本表适用于合同金额 1000 万元以上的土建工程，500 万元以上的安装工程</w:t>
      </w:r>
    </w:p>
    <w:p w14:paraId="5A351A56">
      <w:pPr>
        <w:widowControl/>
        <w:spacing w:line="300" w:lineRule="exact"/>
        <w:ind w:left="-210" w:leftChars="-100" w:right="-815" w:rightChars="-388" w:firstLine="420" w:firstLineChars="200"/>
        <w:jc w:val="left"/>
        <w:rPr>
          <w:rFonts w:hint="eastAsia"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olor w:val="000000" w:themeColor="text1"/>
          <w:kern w:val="0"/>
          <w:szCs w:val="21"/>
          <w14:textFill>
            <w14:solidFill>
              <w14:schemeClr w14:val="tx1"/>
            </w14:solidFill>
          </w14:textFill>
        </w:rPr>
        <w:t>安装工程：主要设备规格型号、台件</w:t>
      </w:r>
      <w:r>
        <w:rPr>
          <w:rFonts w:hint="eastAsia" w:ascii="仿宋_GB2312" w:hAnsi="宋体" w:eastAsia="仿宋_GB2312"/>
          <w:color w:val="000000" w:themeColor="text1"/>
          <w:kern w:val="0"/>
          <w:szCs w:val="21"/>
          <w:lang w:eastAsia="zh-CN"/>
          <w14:textFill>
            <w14:solidFill>
              <w14:schemeClr w14:val="tx1"/>
            </w14:solidFill>
          </w14:textFill>
        </w:rPr>
        <w:t>数量</w:t>
      </w:r>
      <w:r>
        <w:rPr>
          <w:rFonts w:hint="eastAsia" w:ascii="仿宋_GB2312" w:hAnsi="宋体" w:eastAsia="仿宋_GB2312"/>
          <w:color w:val="000000" w:themeColor="text1"/>
          <w:kern w:val="0"/>
          <w:szCs w:val="21"/>
          <w14:textFill>
            <w14:solidFill>
              <w14:schemeClr w14:val="tx1"/>
            </w14:solidFill>
          </w14:textFill>
        </w:rPr>
        <w:t>，管路、线缆规格长度，敷设方法等。</w:t>
      </w:r>
    </w:p>
    <w:p w14:paraId="295AA05A">
      <w:pPr>
        <w:widowControl/>
        <w:spacing w:line="300" w:lineRule="exact"/>
        <w:ind w:right="-815" w:rightChars="-388"/>
        <w:jc w:val="left"/>
        <w:rPr>
          <w:rFonts w:hint="eastAsia" w:ascii="仿宋_GB2312" w:hAnsi="宋体" w:eastAsia="仿宋_GB2312"/>
          <w:color w:val="000000" w:themeColor="text1"/>
          <w:kern w:val="0"/>
          <w:szCs w:val="21"/>
          <w14:textFill>
            <w14:solidFill>
              <w14:schemeClr w14:val="tx1"/>
            </w14:solidFill>
          </w14:textFill>
        </w:rPr>
      </w:pPr>
    </w:p>
    <w:p w14:paraId="2958B36B">
      <w:pPr>
        <w:widowControl/>
        <w:spacing w:line="300" w:lineRule="exact"/>
        <w:ind w:right="-815" w:rightChars="-388"/>
        <w:jc w:val="left"/>
        <w:rPr>
          <w:rFonts w:hint="eastAsia" w:ascii="仿宋_GB2312" w:hAnsi="宋体" w:eastAsia="仿宋_GB2312"/>
          <w:color w:val="000000" w:themeColor="text1"/>
          <w:kern w:val="0"/>
          <w:szCs w:val="21"/>
          <w14:textFill>
            <w14:solidFill>
              <w14:schemeClr w14:val="tx1"/>
            </w14:solidFill>
          </w14:textFill>
        </w:rPr>
      </w:pPr>
    </w:p>
    <w:p w14:paraId="64E0AF5B">
      <w:pPr>
        <w:widowControl/>
        <w:spacing w:line="300" w:lineRule="exact"/>
        <w:ind w:right="-815" w:rightChars="-388"/>
        <w:jc w:val="left"/>
        <w:rPr>
          <w:rFonts w:hint="eastAsia" w:ascii="仿宋_GB2312" w:hAnsi="宋体" w:eastAsia="仿宋_GB2312"/>
          <w:color w:val="000000" w:themeColor="text1"/>
          <w:kern w:val="0"/>
          <w:szCs w:val="21"/>
          <w14:textFill>
            <w14:solidFill>
              <w14:schemeClr w14:val="tx1"/>
            </w14:solidFill>
          </w14:textFill>
        </w:rPr>
      </w:pPr>
    </w:p>
    <w:p w14:paraId="5CA856A3">
      <w:pPr>
        <w:widowControl/>
        <w:spacing w:line="300" w:lineRule="exact"/>
        <w:ind w:right="-815" w:rightChars="-388"/>
        <w:jc w:val="left"/>
        <w:rPr>
          <w:rFonts w:hint="eastAsia" w:ascii="仿宋_GB2312" w:hAnsi="宋体" w:eastAsia="仿宋_GB2312"/>
          <w:color w:val="000000" w:themeColor="text1"/>
          <w:kern w:val="0"/>
          <w:szCs w:val="21"/>
          <w14:textFill>
            <w14:solidFill>
              <w14:schemeClr w14:val="tx1"/>
            </w14:solidFill>
          </w14:textFill>
        </w:rPr>
      </w:pPr>
    </w:p>
    <w:p w14:paraId="6B72D643">
      <w:pPr>
        <w:widowControl/>
        <w:spacing w:line="300" w:lineRule="exact"/>
        <w:ind w:right="-815" w:rightChars="-388"/>
        <w:jc w:val="left"/>
        <w:rPr>
          <w:rFonts w:hint="eastAsia" w:ascii="仿宋_GB2312" w:hAnsi="宋体" w:eastAsia="仿宋_GB2312"/>
          <w:color w:val="000000" w:themeColor="text1"/>
          <w:kern w:val="0"/>
          <w:szCs w:val="21"/>
          <w14:textFill>
            <w14:solidFill>
              <w14:schemeClr w14:val="tx1"/>
            </w14:solidFill>
          </w14:textFill>
        </w:rPr>
      </w:pPr>
    </w:p>
    <w:tbl>
      <w:tblPr>
        <w:tblStyle w:val="10"/>
        <w:tblW w:w="93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75"/>
        <w:gridCol w:w="1450"/>
        <w:gridCol w:w="1651"/>
        <w:gridCol w:w="1561"/>
        <w:gridCol w:w="1613"/>
        <w:gridCol w:w="1480"/>
      </w:tblGrid>
      <w:tr w14:paraId="2721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330" w:type="dxa"/>
            <w:gridSpan w:val="6"/>
            <w:vMerge w:val="restart"/>
            <w:tcBorders>
              <w:top w:val="nil"/>
              <w:left w:val="nil"/>
              <w:bottom w:val="nil"/>
              <w:right w:val="nil"/>
            </w:tcBorders>
            <w:shd w:val="clear" w:color="auto" w:fill="auto"/>
            <w:noWrap/>
            <w:vAlign w:val="center"/>
          </w:tcPr>
          <w:p w14:paraId="4731950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8"/>
                <w:szCs w:val="28"/>
                <w:u w:val="none"/>
              </w:rPr>
            </w:pPr>
            <w:r>
              <w:rPr>
                <w:rFonts w:hint="eastAsia" w:ascii="方正仿宋_GB2312" w:hAnsi="方正仿宋_GB2312" w:eastAsia="方正仿宋_GB2312" w:cs="方正仿宋_GB2312"/>
                <w:b/>
                <w:bCs/>
                <w:i w:val="0"/>
                <w:iCs w:val="0"/>
                <w:color w:val="000000"/>
                <w:kern w:val="0"/>
                <w:sz w:val="28"/>
                <w:szCs w:val="28"/>
                <w:u w:val="none"/>
                <w:lang w:val="en-US" w:eastAsia="zh-CN" w:bidi="ar"/>
              </w:rPr>
              <w:t>计划工程开工申请表</w:t>
            </w:r>
          </w:p>
        </w:tc>
      </w:tr>
      <w:tr w14:paraId="58FCA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9330" w:type="dxa"/>
            <w:gridSpan w:val="6"/>
            <w:vMerge w:val="continue"/>
            <w:tcBorders>
              <w:top w:val="nil"/>
              <w:left w:val="nil"/>
              <w:bottom w:val="nil"/>
              <w:right w:val="nil"/>
            </w:tcBorders>
            <w:shd w:val="clear" w:color="auto" w:fill="auto"/>
            <w:noWrap/>
            <w:vAlign w:val="center"/>
          </w:tcPr>
          <w:p w14:paraId="6BC0E542">
            <w:pPr>
              <w:jc w:val="center"/>
              <w:rPr>
                <w:rFonts w:hint="eastAsia" w:ascii="方正仿宋_GB2312" w:hAnsi="方正仿宋_GB2312" w:eastAsia="方正仿宋_GB2312" w:cs="方正仿宋_GB2312"/>
                <w:b/>
                <w:bCs/>
                <w:i w:val="0"/>
                <w:iCs w:val="0"/>
                <w:color w:val="000000"/>
                <w:sz w:val="28"/>
                <w:szCs w:val="28"/>
                <w:u w:val="none"/>
              </w:rPr>
            </w:pPr>
          </w:p>
        </w:tc>
      </w:tr>
      <w:tr w14:paraId="174BE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B35EB">
            <w:pPr>
              <w:keepNext w:val="0"/>
              <w:keepLines w:val="0"/>
              <w:widowControl/>
              <w:suppressLineNumbers w:val="0"/>
              <w:jc w:val="left"/>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工程名称</w:t>
            </w:r>
          </w:p>
        </w:tc>
        <w:tc>
          <w:tcPr>
            <w:tcW w:w="775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DC7C">
            <w:pPr>
              <w:jc w:val="center"/>
              <w:rPr>
                <w:rFonts w:hint="eastAsia" w:ascii="方正仿宋_GB2312" w:hAnsi="方正仿宋_GB2312" w:eastAsia="方正仿宋_GB2312" w:cs="方正仿宋_GB2312"/>
                <w:b/>
                <w:bCs/>
                <w:i w:val="0"/>
                <w:iCs w:val="0"/>
                <w:color w:val="000000"/>
                <w:sz w:val="22"/>
                <w:szCs w:val="22"/>
                <w:u w:val="none"/>
              </w:rPr>
            </w:pPr>
          </w:p>
        </w:tc>
      </w:tr>
      <w:tr w14:paraId="4177D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4"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0BA8">
            <w:pPr>
              <w:keepNext w:val="0"/>
              <w:keepLines w:val="0"/>
              <w:widowControl/>
              <w:suppressLineNumbers w:val="0"/>
              <w:jc w:val="left"/>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施工单位</w:t>
            </w:r>
          </w:p>
        </w:tc>
        <w:tc>
          <w:tcPr>
            <w:tcW w:w="31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9B5E">
            <w:pPr>
              <w:jc w:val="center"/>
              <w:rPr>
                <w:rFonts w:hint="eastAsia" w:ascii="方正仿宋_GB2312" w:hAnsi="方正仿宋_GB2312" w:eastAsia="方正仿宋_GB2312" w:cs="方正仿宋_GB2312"/>
                <w:i w:val="0"/>
                <w:iCs w:val="0"/>
                <w:color w:val="000000"/>
                <w:sz w:val="22"/>
                <w:szCs w:val="22"/>
                <w:u w:val="none"/>
              </w:rPr>
            </w:pP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B976">
            <w:pPr>
              <w:keepNext w:val="0"/>
              <w:keepLines w:val="0"/>
              <w:widowControl/>
              <w:suppressLineNumbers w:val="0"/>
              <w:jc w:val="left"/>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工程计划类别</w:t>
            </w:r>
          </w:p>
        </w:tc>
        <w:tc>
          <w:tcPr>
            <w:tcW w:w="309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665D">
            <w:pPr>
              <w:jc w:val="center"/>
              <w:rPr>
                <w:rFonts w:hint="eastAsia" w:ascii="方正仿宋_GB2312" w:hAnsi="方正仿宋_GB2312" w:eastAsia="方正仿宋_GB2312" w:cs="方正仿宋_GB2312"/>
                <w:i w:val="0"/>
                <w:iCs w:val="0"/>
                <w:color w:val="000000"/>
                <w:sz w:val="22"/>
                <w:szCs w:val="22"/>
                <w:u w:val="none"/>
              </w:rPr>
            </w:pPr>
          </w:p>
        </w:tc>
      </w:tr>
      <w:tr w14:paraId="1AE38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4" w:hRule="atLeast"/>
        </w:trPr>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567A">
            <w:pPr>
              <w:keepNext w:val="0"/>
              <w:keepLines w:val="0"/>
              <w:widowControl/>
              <w:suppressLineNumbers w:val="0"/>
              <w:jc w:val="left"/>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计划开工日期</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F83A">
            <w:pPr>
              <w:jc w:val="center"/>
              <w:rPr>
                <w:rFonts w:hint="eastAsia" w:ascii="方正仿宋_GB2312" w:hAnsi="方正仿宋_GB2312" w:eastAsia="方正仿宋_GB2312" w:cs="方正仿宋_GB2312"/>
                <w:i w:val="0"/>
                <w:iCs w:val="0"/>
                <w:color w:val="000000"/>
                <w:sz w:val="22"/>
                <w:szCs w:val="22"/>
                <w:u w:val="none"/>
              </w:rPr>
            </w:pPr>
          </w:p>
        </w:tc>
        <w:tc>
          <w:tcPr>
            <w:tcW w:w="1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39109">
            <w:pPr>
              <w:keepNext w:val="0"/>
              <w:keepLines w:val="0"/>
              <w:widowControl/>
              <w:suppressLineNumbers w:val="0"/>
              <w:jc w:val="left"/>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计划竣工日期</w:t>
            </w:r>
          </w:p>
        </w:tc>
        <w:tc>
          <w:tcPr>
            <w:tcW w:w="1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E332E">
            <w:pPr>
              <w:rPr>
                <w:rFonts w:hint="eastAsia" w:ascii="方正仿宋_GB2312" w:hAnsi="方正仿宋_GB2312" w:eastAsia="方正仿宋_GB2312" w:cs="方正仿宋_GB2312"/>
                <w:i w:val="0"/>
                <w:iCs w:val="0"/>
                <w:color w:val="000000"/>
                <w:sz w:val="22"/>
                <w:szCs w:val="22"/>
                <w:u w:val="none"/>
              </w:rPr>
            </w:pPr>
          </w:p>
        </w:tc>
        <w:tc>
          <w:tcPr>
            <w:tcW w:w="1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85952">
            <w:pPr>
              <w:keepNext w:val="0"/>
              <w:keepLines w:val="0"/>
              <w:widowControl/>
              <w:suppressLineNumbers w:val="0"/>
              <w:jc w:val="left"/>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实际开工日期</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8B293">
            <w:pPr>
              <w:rPr>
                <w:rFonts w:hint="eastAsia" w:ascii="方正仿宋_GB2312" w:hAnsi="方正仿宋_GB2312" w:eastAsia="方正仿宋_GB2312" w:cs="方正仿宋_GB2312"/>
                <w:i w:val="0"/>
                <w:iCs w:val="0"/>
                <w:color w:val="000000"/>
                <w:sz w:val="22"/>
                <w:szCs w:val="22"/>
                <w:u w:val="none"/>
              </w:rPr>
            </w:pPr>
          </w:p>
        </w:tc>
      </w:tr>
      <w:tr w14:paraId="5BCD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6EC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工程技术特征</w:t>
            </w:r>
          </w:p>
        </w:tc>
        <w:tc>
          <w:tcPr>
            <w:tcW w:w="775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1F0B">
            <w:pPr>
              <w:jc w:val="center"/>
              <w:rPr>
                <w:rFonts w:hint="eastAsia" w:ascii="方正仿宋_GB2312" w:hAnsi="方正仿宋_GB2312" w:eastAsia="方正仿宋_GB2312" w:cs="方正仿宋_GB2312"/>
                <w:i w:val="0"/>
                <w:iCs w:val="0"/>
                <w:color w:val="000000"/>
                <w:sz w:val="22"/>
                <w:szCs w:val="22"/>
                <w:u w:val="none"/>
              </w:rPr>
            </w:pPr>
          </w:p>
        </w:tc>
      </w:tr>
      <w:tr w14:paraId="1260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93F3">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2A86">
            <w:pPr>
              <w:jc w:val="center"/>
              <w:rPr>
                <w:rFonts w:hint="eastAsia" w:ascii="方正仿宋_GB2312" w:hAnsi="方正仿宋_GB2312" w:eastAsia="方正仿宋_GB2312" w:cs="方正仿宋_GB2312"/>
                <w:i w:val="0"/>
                <w:iCs w:val="0"/>
                <w:color w:val="000000"/>
                <w:sz w:val="22"/>
                <w:szCs w:val="22"/>
                <w:u w:val="none"/>
              </w:rPr>
            </w:pPr>
          </w:p>
        </w:tc>
      </w:tr>
      <w:tr w14:paraId="23D3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0475">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C729">
            <w:pPr>
              <w:jc w:val="center"/>
              <w:rPr>
                <w:rFonts w:hint="eastAsia" w:ascii="方正仿宋_GB2312" w:hAnsi="方正仿宋_GB2312" w:eastAsia="方正仿宋_GB2312" w:cs="方正仿宋_GB2312"/>
                <w:i w:val="0"/>
                <w:iCs w:val="0"/>
                <w:color w:val="000000"/>
                <w:sz w:val="22"/>
                <w:szCs w:val="22"/>
                <w:u w:val="none"/>
              </w:rPr>
            </w:pPr>
          </w:p>
        </w:tc>
      </w:tr>
      <w:tr w14:paraId="4D69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93A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工程量清单</w:t>
            </w:r>
          </w:p>
        </w:tc>
        <w:tc>
          <w:tcPr>
            <w:tcW w:w="775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0567">
            <w:pPr>
              <w:jc w:val="center"/>
              <w:rPr>
                <w:rFonts w:hint="eastAsia" w:ascii="方正仿宋_GB2312" w:hAnsi="方正仿宋_GB2312" w:eastAsia="方正仿宋_GB2312" w:cs="方正仿宋_GB2312"/>
                <w:i w:val="0"/>
                <w:iCs w:val="0"/>
                <w:color w:val="000000"/>
                <w:sz w:val="22"/>
                <w:szCs w:val="22"/>
                <w:u w:val="none"/>
              </w:rPr>
            </w:pPr>
          </w:p>
        </w:tc>
      </w:tr>
      <w:tr w14:paraId="2100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CA14">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B6DFA">
            <w:pPr>
              <w:jc w:val="center"/>
              <w:rPr>
                <w:rFonts w:hint="eastAsia" w:ascii="方正仿宋_GB2312" w:hAnsi="方正仿宋_GB2312" w:eastAsia="方正仿宋_GB2312" w:cs="方正仿宋_GB2312"/>
                <w:i w:val="0"/>
                <w:iCs w:val="0"/>
                <w:color w:val="000000"/>
                <w:sz w:val="22"/>
                <w:szCs w:val="22"/>
                <w:u w:val="none"/>
              </w:rPr>
            </w:pPr>
          </w:p>
        </w:tc>
      </w:tr>
      <w:tr w14:paraId="34E86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0C46A">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3D44">
            <w:pPr>
              <w:jc w:val="center"/>
              <w:rPr>
                <w:rFonts w:hint="eastAsia" w:ascii="方正仿宋_GB2312" w:hAnsi="方正仿宋_GB2312" w:eastAsia="方正仿宋_GB2312" w:cs="方正仿宋_GB2312"/>
                <w:i w:val="0"/>
                <w:iCs w:val="0"/>
                <w:color w:val="000000"/>
                <w:sz w:val="22"/>
                <w:szCs w:val="22"/>
                <w:u w:val="none"/>
              </w:rPr>
            </w:pPr>
          </w:p>
        </w:tc>
      </w:tr>
      <w:tr w14:paraId="7CA50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00A7B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申请单位（签章）</w:t>
            </w:r>
          </w:p>
        </w:tc>
        <w:tc>
          <w:tcPr>
            <w:tcW w:w="775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101A1B">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sz w:val="22"/>
                <w:szCs w:val="22"/>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 xml:space="preserve">                                          年     月     日</w:t>
            </w:r>
          </w:p>
        </w:tc>
      </w:tr>
      <w:tr w14:paraId="6BECF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27030">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C43334">
            <w:pPr>
              <w:jc w:val="center"/>
              <w:rPr>
                <w:rFonts w:hint="eastAsia" w:ascii="方正仿宋_GB2312" w:hAnsi="方正仿宋_GB2312" w:eastAsia="方正仿宋_GB2312" w:cs="方正仿宋_GB2312"/>
                <w:i w:val="0"/>
                <w:iCs w:val="0"/>
                <w:color w:val="000000"/>
                <w:sz w:val="22"/>
                <w:szCs w:val="22"/>
                <w:u w:val="none"/>
              </w:rPr>
            </w:pPr>
          </w:p>
        </w:tc>
      </w:tr>
      <w:tr w14:paraId="4EFE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73D83">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A212DA">
            <w:pPr>
              <w:jc w:val="center"/>
              <w:rPr>
                <w:rFonts w:hint="eastAsia" w:ascii="方正仿宋_GB2312" w:hAnsi="方正仿宋_GB2312" w:eastAsia="方正仿宋_GB2312" w:cs="方正仿宋_GB2312"/>
                <w:i w:val="0"/>
                <w:iCs w:val="0"/>
                <w:color w:val="000000"/>
                <w:sz w:val="22"/>
                <w:szCs w:val="22"/>
                <w:u w:val="none"/>
              </w:rPr>
            </w:pPr>
          </w:p>
        </w:tc>
      </w:tr>
      <w:tr w14:paraId="0B8D1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4905D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核准单位（签章）</w:t>
            </w:r>
          </w:p>
        </w:tc>
        <w:tc>
          <w:tcPr>
            <w:tcW w:w="7755"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640141">
            <w:pPr>
              <w:keepNext w:val="0"/>
              <w:keepLines w:val="0"/>
              <w:widowControl/>
              <w:suppressLineNumbers w:val="0"/>
              <w:jc w:val="center"/>
              <w:textAlignment w:val="bottom"/>
              <w:rPr>
                <w:rFonts w:hint="eastAsia" w:ascii="方正仿宋_GB2312" w:hAnsi="方正仿宋_GB2312" w:eastAsia="方正仿宋_GB2312" w:cs="方正仿宋_GB2312"/>
                <w:i w:val="0"/>
                <w:iCs w:val="0"/>
                <w:color w:val="000000"/>
                <w:sz w:val="22"/>
                <w:szCs w:val="22"/>
                <w:u w:val="none"/>
              </w:rPr>
            </w:pPr>
            <w:r>
              <w:rPr>
                <w:rFonts w:hint="eastAsia" w:ascii="方正仿宋_GB2312" w:hAnsi="方正仿宋_GB2312" w:eastAsia="方正仿宋_GB2312" w:cs="方正仿宋_GB2312"/>
                <w:i w:val="0"/>
                <w:iCs w:val="0"/>
                <w:color w:val="000000"/>
                <w:kern w:val="0"/>
                <w:sz w:val="22"/>
                <w:szCs w:val="22"/>
                <w:u w:val="none"/>
                <w:lang w:val="en-US" w:eastAsia="zh-CN" w:bidi="ar"/>
              </w:rPr>
              <w:t xml:space="preserve">                                         年     月     日</w:t>
            </w:r>
          </w:p>
        </w:tc>
      </w:tr>
      <w:tr w14:paraId="4E209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FDC56">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7C1721">
            <w:pPr>
              <w:jc w:val="center"/>
              <w:rPr>
                <w:rFonts w:hint="eastAsia" w:ascii="方正仿宋_GB2312" w:hAnsi="方正仿宋_GB2312" w:eastAsia="方正仿宋_GB2312" w:cs="方正仿宋_GB2312"/>
                <w:i w:val="0"/>
                <w:iCs w:val="0"/>
                <w:color w:val="000000"/>
                <w:sz w:val="22"/>
                <w:szCs w:val="22"/>
                <w:u w:val="none"/>
              </w:rPr>
            </w:pPr>
          </w:p>
        </w:tc>
      </w:tr>
      <w:tr w14:paraId="3DF6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trPr>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9670A">
            <w:pPr>
              <w:jc w:val="center"/>
              <w:rPr>
                <w:rFonts w:hint="eastAsia" w:ascii="方正仿宋_GB2312" w:hAnsi="方正仿宋_GB2312" w:eastAsia="方正仿宋_GB2312" w:cs="方正仿宋_GB2312"/>
                <w:b/>
                <w:bCs/>
                <w:i w:val="0"/>
                <w:iCs w:val="0"/>
                <w:color w:val="000000"/>
                <w:sz w:val="22"/>
                <w:szCs w:val="22"/>
                <w:u w:val="none"/>
              </w:rPr>
            </w:pPr>
          </w:p>
        </w:tc>
        <w:tc>
          <w:tcPr>
            <w:tcW w:w="7755"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8FDC3E">
            <w:pPr>
              <w:jc w:val="center"/>
              <w:rPr>
                <w:rFonts w:hint="eastAsia" w:ascii="方正仿宋_GB2312" w:hAnsi="方正仿宋_GB2312" w:eastAsia="方正仿宋_GB2312" w:cs="方正仿宋_GB2312"/>
                <w:i w:val="0"/>
                <w:iCs w:val="0"/>
                <w:color w:val="000000"/>
                <w:sz w:val="22"/>
                <w:szCs w:val="22"/>
                <w:u w:val="none"/>
              </w:rPr>
            </w:pPr>
          </w:p>
        </w:tc>
      </w:tr>
    </w:tbl>
    <w:p w14:paraId="0BBF2603">
      <w:pPr>
        <w:widowControl/>
        <w:spacing w:line="300" w:lineRule="exact"/>
        <w:ind w:right="-815" w:rightChars="-388"/>
        <w:jc w:val="left"/>
        <w:rPr>
          <w:rFonts w:hint="default" w:ascii="仿宋_GB2312" w:hAnsi="宋体" w:eastAsia="仿宋_GB2312"/>
          <w:color w:val="000000" w:themeColor="text1"/>
          <w:kern w:val="0"/>
          <w:szCs w:val="21"/>
          <w:lang w:val="en-US"/>
          <w14:textFill>
            <w14:solidFill>
              <w14:schemeClr w14:val="tx1"/>
            </w14:solidFill>
          </w14:textFill>
        </w:rPr>
      </w:pPr>
      <w:r>
        <w:rPr>
          <w:rFonts w:hint="eastAsia" w:ascii="仿宋_GB2312" w:hAnsi="宋体" w:eastAsia="仿宋_GB2312"/>
          <w:color w:val="000000" w:themeColor="text1"/>
          <w:kern w:val="0"/>
          <w:szCs w:val="21"/>
          <w:lang w:val="en-US" w:eastAsia="zh-CN"/>
          <w14:textFill>
            <w14:solidFill>
              <w14:schemeClr w14:val="tx1"/>
            </w14:solidFill>
          </w14:textFill>
        </w:rPr>
        <w:t>注：本表适用于除合同金额 1000 万元以上的土建工程，500 万元以上的安装工程以外的工程</w:t>
      </w:r>
    </w:p>
    <w:p w14:paraId="14E1F97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楷体_GB2312" w:hAnsi="方正楷体_GB2312" w:eastAsia="方正楷体_GB2312" w:cs="方正楷体_GB2312"/>
          <w:b w:val="0"/>
          <w:bCs w:val="0"/>
          <w:color w:val="000000"/>
          <w:kern w:val="0"/>
          <w:sz w:val="32"/>
          <w:szCs w:val="32"/>
          <w:lang w:val="en-US" w:eastAsia="zh-CN" w:bidi="ar"/>
        </w:rPr>
      </w:pPr>
    </w:p>
    <w:p w14:paraId="192B0CB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楷体_GB2312" w:hAnsi="方正楷体_GB2312" w:eastAsia="方正楷体_GB2312" w:cs="方正楷体_GB2312"/>
          <w:b w:val="0"/>
          <w:bCs w:val="0"/>
          <w:color w:val="000000"/>
          <w:kern w:val="0"/>
          <w:sz w:val="32"/>
          <w:szCs w:val="32"/>
          <w:lang w:val="en-US" w:eastAsia="zh-CN" w:bidi="ar"/>
        </w:rPr>
      </w:pPr>
    </w:p>
    <w:p w14:paraId="4D55AB97">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黑体" w:hAnsi="黑体" w:eastAsia="黑体" w:cs="黑体"/>
          <w:b w:val="0"/>
          <w:bCs w:val="0"/>
          <w:color w:val="000000"/>
          <w:kern w:val="0"/>
          <w:sz w:val="32"/>
          <w:szCs w:val="32"/>
          <w:lang w:val="en-US" w:eastAsia="zh-CN" w:bidi="ar"/>
        </w:rPr>
      </w:pPr>
      <w:r>
        <w:rPr>
          <w:rFonts w:hint="eastAsia" w:ascii="黑体" w:hAnsi="黑体" w:eastAsia="黑体" w:cs="黑体"/>
          <w:b w:val="0"/>
          <w:bCs w:val="0"/>
          <w:color w:val="000000"/>
          <w:kern w:val="0"/>
          <w:sz w:val="32"/>
          <w:szCs w:val="32"/>
          <w:lang w:val="en-US" w:eastAsia="zh-CN" w:bidi="ar"/>
        </w:rPr>
        <w:t>附表2</w:t>
      </w:r>
    </w:p>
    <w:p w14:paraId="01CDF3B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楷体_GB2312" w:hAnsi="方正楷体_GB2312" w:eastAsia="方正楷体_GB2312" w:cs="方正楷体_GB2312"/>
          <w:b w:val="0"/>
          <w:bCs w:val="0"/>
          <w:color w:val="000000"/>
          <w:kern w:val="0"/>
          <w:sz w:val="32"/>
          <w:szCs w:val="32"/>
          <w:lang w:val="en-US" w:eastAsia="zh-CN" w:bidi="ar"/>
        </w:rPr>
      </w:pPr>
      <w:r>
        <w:rPr>
          <w:rFonts w:hint="eastAsia" w:ascii="方正楷体_GB2312" w:hAnsi="方正楷体_GB2312" w:eastAsia="方正楷体_GB2312" w:cs="方正楷体_GB2312"/>
          <w:b w:val="0"/>
          <w:bCs w:val="0"/>
          <w:color w:val="000000"/>
          <w:kern w:val="0"/>
          <w:sz w:val="32"/>
          <w:szCs w:val="32"/>
          <w:lang w:val="en-US" w:eastAsia="zh-CN" w:bidi="ar"/>
        </w:rPr>
        <w:t>工程项目资料清单</w:t>
      </w:r>
    </w:p>
    <w:p w14:paraId="2505DF92">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（一）依据性文件材料 </w:t>
      </w:r>
    </w:p>
    <w:p w14:paraId="39E5F70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1.立项申请报告批复 </w:t>
      </w:r>
    </w:p>
    <w:p w14:paraId="3029227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2.上级批文 </w:t>
      </w:r>
    </w:p>
    <w:p w14:paraId="449DDA5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3.可行性研究报告 </w:t>
      </w:r>
    </w:p>
    <w:p w14:paraId="4220007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4.兴建工程报建表 </w:t>
      </w:r>
    </w:p>
    <w:p w14:paraId="0593269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5.红线图 </w:t>
      </w:r>
    </w:p>
    <w:p w14:paraId="07FC0EE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6.建设工程规划许可证 </w:t>
      </w:r>
    </w:p>
    <w:p w14:paraId="0A4C5B5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7.建筑工程施工许可证 </w:t>
      </w:r>
    </w:p>
    <w:p w14:paraId="29DB102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8.公安消防设计审核意见书 </w:t>
      </w:r>
    </w:p>
    <w:p w14:paraId="48B21CC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9.建设工程质量监督注册表 </w:t>
      </w:r>
    </w:p>
    <w:p w14:paraId="6BF1EEE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10.环境影响报告书 </w:t>
      </w:r>
    </w:p>
    <w:p w14:paraId="4A26522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11.防雷装置设计核准书 </w:t>
      </w:r>
    </w:p>
    <w:p w14:paraId="600A373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12.建设工程施工图审查合格书 </w:t>
      </w:r>
    </w:p>
    <w:p w14:paraId="0B49EB1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13.建筑节能设计审查备案表 </w:t>
      </w:r>
    </w:p>
    <w:p w14:paraId="031EB76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14.勘察合同 </w:t>
      </w:r>
    </w:p>
    <w:p w14:paraId="62D5DB0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15.设计合同 </w:t>
      </w:r>
    </w:p>
    <w:p w14:paraId="5BC1A98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16.中标通知书（招投标文件）</w:t>
      </w:r>
    </w:p>
    <w:p w14:paraId="7BBFCA72">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（二）基础文件材料</w:t>
      </w:r>
      <w:r>
        <w:rPr>
          <w:rFonts w:hint="eastAsia" w:ascii="仿宋_GB2312" w:hAnsi="仿宋_GB2312" w:eastAsia="仿宋_GB2312" w:cs="仿宋_GB2312"/>
          <w:color w:val="000000"/>
          <w:kern w:val="0"/>
          <w:sz w:val="32"/>
          <w:szCs w:val="32"/>
          <w:lang w:val="en-US" w:eastAsia="zh-CN" w:bidi="ar"/>
        </w:rPr>
        <w:t xml:space="preserve"> </w:t>
      </w:r>
    </w:p>
    <w:p w14:paraId="637BAB3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1.选址报告 </w:t>
      </w:r>
    </w:p>
    <w:p w14:paraId="1702ABC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2.地质勘探报告（包括地质图） </w:t>
      </w:r>
    </w:p>
    <w:p w14:paraId="6B0E6DF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3.建设工程规划管理定点标桩、验线测量记录册</w:t>
      </w:r>
    </w:p>
    <w:p w14:paraId="1F20DC6D">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（三）监理文件 </w:t>
      </w:r>
    </w:p>
    <w:p w14:paraId="3DDB041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1.监理合同 </w:t>
      </w:r>
    </w:p>
    <w:p w14:paraId="117C84B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2.监理规划 </w:t>
      </w:r>
    </w:p>
    <w:p w14:paraId="0662564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3.监理实施细则 </w:t>
      </w:r>
    </w:p>
    <w:p w14:paraId="2307039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4.监理月报中的有关质量问题 </w:t>
      </w:r>
    </w:p>
    <w:p w14:paraId="6F81C13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5.工程开工/复工报审表 </w:t>
      </w:r>
    </w:p>
    <w:p w14:paraId="6FC5860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6.工程暂停令 </w:t>
      </w:r>
    </w:p>
    <w:p w14:paraId="2594664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7.质量事故报告及处理意见 </w:t>
      </w:r>
    </w:p>
    <w:p w14:paraId="5D87BA5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8.监理工作总结 </w:t>
      </w:r>
    </w:p>
    <w:p w14:paraId="322BD75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9.工程质量评估报告 </w:t>
      </w:r>
    </w:p>
    <w:p w14:paraId="07AA0437">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（四）施工文件材料 </w:t>
      </w:r>
    </w:p>
    <w:p w14:paraId="0728F53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A.建筑工程 </w:t>
      </w:r>
    </w:p>
    <w:p w14:paraId="6D0CB78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1.施工合同 </w:t>
      </w:r>
    </w:p>
    <w:p w14:paraId="0816580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2.图纸会审记录 </w:t>
      </w:r>
    </w:p>
    <w:p w14:paraId="106C922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3.设计变更通知单 </w:t>
      </w:r>
    </w:p>
    <w:p w14:paraId="07FCE27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4.施工组织设计或施工方案 </w:t>
      </w:r>
    </w:p>
    <w:p w14:paraId="35995BE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5.开工报告（包括停工、复工通知） </w:t>
      </w:r>
    </w:p>
    <w:p w14:paraId="029B894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6.单位工程坐标定位测量记录 </w:t>
      </w:r>
    </w:p>
    <w:p w14:paraId="78438B7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7.工程基线复核表 </w:t>
      </w:r>
    </w:p>
    <w:p w14:paraId="280444B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8.地基基坑（槽）开挖/回填施工记录表 </w:t>
      </w:r>
    </w:p>
    <w:p w14:paraId="1E6BE5E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9.桩施工工艺试验记录表及桩施工记录表 </w:t>
      </w:r>
    </w:p>
    <w:p w14:paraId="6B7F6DC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10.基础相关检测报告 </w:t>
      </w:r>
    </w:p>
    <w:p w14:paraId="20F400D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11.各种原材料、构件、半成品质量合格证以及混凝土、 砂浆配合比通知单及试验报告12、建筑物的沉降观测记录表 </w:t>
      </w:r>
    </w:p>
    <w:p w14:paraId="624ED07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13.建筑物的垂直度测量记录表 </w:t>
      </w:r>
    </w:p>
    <w:p w14:paraId="6D21C0A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14.隐蔽工程质量验收记录表 </w:t>
      </w:r>
    </w:p>
    <w:p w14:paraId="6A4B610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15.各种施工检查记录表 </w:t>
      </w:r>
    </w:p>
    <w:p w14:paraId="4EA0D48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16.工程事故报告及事故分析处理记录 </w:t>
      </w:r>
    </w:p>
    <w:p w14:paraId="3056A8E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B.给排水、电气、采暖、电梯、通风、空调、智能、 </w:t>
      </w:r>
    </w:p>
    <w:p w14:paraId="52B35866">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燃气、节能工程 </w:t>
      </w:r>
    </w:p>
    <w:p w14:paraId="5BBED26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1.施工合同 </w:t>
      </w:r>
    </w:p>
    <w:p w14:paraId="6B3743D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2.图纸会审记录 </w:t>
      </w:r>
    </w:p>
    <w:p w14:paraId="1A202E4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3.设计变更通知单 </w:t>
      </w:r>
    </w:p>
    <w:p w14:paraId="2550AF8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4.施工组织设计或施工方案 </w:t>
      </w:r>
    </w:p>
    <w:p w14:paraId="7F797D7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5.开工报告（包括停工、复工通知） </w:t>
      </w:r>
    </w:p>
    <w:p w14:paraId="361880F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6.设备、产品质量合格证和检验报告 </w:t>
      </w:r>
    </w:p>
    <w:p w14:paraId="23EB5DD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7.设备安装记录 </w:t>
      </w:r>
    </w:p>
    <w:p w14:paraId="614A764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8.设备运行记录 </w:t>
      </w:r>
    </w:p>
    <w:p w14:paraId="5D06A8C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9.隐蔽工程检查记录 </w:t>
      </w:r>
    </w:p>
    <w:p w14:paraId="29A732C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10.施工工程检查记录 </w:t>
      </w:r>
    </w:p>
    <w:p w14:paraId="15EA322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①电气接地电阻、绝缘电阻、综合布线、有线电视末端 </w:t>
      </w:r>
    </w:p>
    <w:p w14:paraId="5F624E3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等测试记录 </w:t>
      </w:r>
    </w:p>
    <w:p w14:paraId="0F74727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②楼宇自控、监视、安装、视听、电话等系统调试记录 </w:t>
      </w:r>
    </w:p>
    <w:p w14:paraId="473C6DF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③变配电设备安装、检查、通电、满负荷测试记录 </w:t>
      </w:r>
    </w:p>
    <w:p w14:paraId="4F6787C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④给排水、消防、采暖、通风、空调、燃气等管道强度、 </w:t>
      </w:r>
    </w:p>
    <w:p w14:paraId="2C31259D">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严密性、灌水、通水、吹洗、漏风、试压、通球、阀门等试 验记录⑤电气照明、动力、给排水、消防、采暖、通风、空调、燃气等系统调试、试运行记录 ⑥电梯接地电阻、绝缘电阻测试记录；空载、半载、满载、超载试运行记录；平衡、运速、噪声调整试验报告 </w:t>
      </w:r>
    </w:p>
    <w:p w14:paraId="7E4B519F">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（五）竣工文件材料 </w:t>
      </w:r>
    </w:p>
    <w:p w14:paraId="25B707B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1.竣工总平面图（按 1:200 比例绘制，包括建筑物平面坐标位置，室内外地坪标高，地下管线的走向坡度、管径、材质、埋深及砂井、化粪池的型号或尺寸、埋深，构筑物的坐标等，与建筑物的四至关系） </w:t>
      </w:r>
    </w:p>
    <w:p w14:paraId="363F0C8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2.竣工工程立面照片（五寸 10×12 ㎝）两张过塑，（过塑前在正面标注工程名称） </w:t>
      </w:r>
    </w:p>
    <w:p w14:paraId="14A6152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3.工程竣工验收申请表 </w:t>
      </w:r>
    </w:p>
    <w:p w14:paraId="3948817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4.分部工程质量验收记录 </w:t>
      </w:r>
    </w:p>
    <w:p w14:paraId="6BDC321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5.单位（子单位）工程质量控制资料核查记录 </w:t>
      </w:r>
    </w:p>
    <w:p w14:paraId="578243B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6.单位（子单位）工程安全资料核查及主要功能抽查 </w:t>
      </w:r>
    </w:p>
    <w:p w14:paraId="2EE5845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记录 </w:t>
      </w:r>
    </w:p>
    <w:p w14:paraId="1C0EB20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7.单位（子单位）工程观感质量检查记录 </w:t>
      </w:r>
    </w:p>
    <w:p w14:paraId="738CE362">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8.单位（子单位）工程质量竣工验收记录 </w:t>
      </w:r>
    </w:p>
    <w:p w14:paraId="3EFE7FC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9.竣工总结 </w:t>
      </w:r>
    </w:p>
    <w:p w14:paraId="0D96008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10.勘察文件质量检查报告 </w:t>
      </w:r>
    </w:p>
    <w:p w14:paraId="6193298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11.设计文件质量检查报告 </w:t>
      </w:r>
    </w:p>
    <w:p w14:paraId="668BF24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12.防雷装置检测验收合格证 </w:t>
      </w:r>
    </w:p>
    <w:p w14:paraId="7954881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13.防雷装置检测报告 </w:t>
      </w:r>
    </w:p>
    <w:p w14:paraId="3CAB68B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14.建筑工程消防验收意见书15、工程竣工测量复核图 </w:t>
      </w:r>
    </w:p>
    <w:p w14:paraId="4C2D76B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16.建筑工程项目规划、环境验收表 </w:t>
      </w:r>
    </w:p>
    <w:p w14:paraId="412E518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17.电梯验收检验报告 </w:t>
      </w:r>
    </w:p>
    <w:p w14:paraId="26ACF12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18.民用建筑工程室内环境质量检测报告 </w:t>
      </w:r>
    </w:p>
    <w:p w14:paraId="08A5730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19.涉及地基基础和主体结构的安全和建筑节能设计变 </w:t>
      </w:r>
    </w:p>
    <w:p w14:paraId="6F8DB511">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更情况一览表 </w:t>
      </w:r>
    </w:p>
    <w:p w14:paraId="56560B7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20.工程竣工验收报告 </w:t>
      </w:r>
    </w:p>
    <w:p w14:paraId="603FD68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21.工程竣工验收备案表 </w:t>
      </w:r>
    </w:p>
    <w:p w14:paraId="3F52565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22.工程结算书 </w:t>
      </w:r>
    </w:p>
    <w:p w14:paraId="622B6C4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23.建设工程竣工验收档案认可证 </w:t>
      </w:r>
    </w:p>
    <w:p w14:paraId="7E19D08D">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（六）竣工图 </w:t>
      </w:r>
    </w:p>
    <w:p w14:paraId="1E75CC1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全套工程竣工图</w:t>
      </w:r>
    </w:p>
    <w:p w14:paraId="7ED54F83">
      <w:pPr>
        <w:keepNext w:val="0"/>
        <w:keepLines w:val="0"/>
        <w:pageBreakBefore w:val="0"/>
        <w:kinsoku/>
        <w:wordWrap/>
        <w:overflowPunct/>
        <w:topLinePunct w:val="0"/>
        <w:autoSpaceDE/>
        <w:autoSpaceDN/>
        <w:bidi w:val="0"/>
        <w:snapToGrid/>
        <w:spacing w:line="520" w:lineRule="exact"/>
        <w:jc w:val="center"/>
        <w:textAlignment w:val="auto"/>
        <w:rPr>
          <w:rFonts w:hint="eastAsia" w:ascii="仿宋_GB2312" w:hAnsi="仿宋_GB2312" w:eastAsia="仿宋_GB2312" w:cs="仿宋_GB2312"/>
          <w:color w:val="000000"/>
          <w:kern w:val="0"/>
          <w:sz w:val="32"/>
          <w:szCs w:val="32"/>
          <w:lang w:val="en-US" w:eastAsia="zh-CN" w:bidi="ar"/>
        </w:rPr>
      </w:pPr>
    </w:p>
    <w:p w14:paraId="50CE2650">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仿宋_GB2312" w:eastAsia="仿宋_GB2312" w:cs="仿宋_GB2312"/>
          <w:color w:val="000000"/>
          <w:kern w:val="0"/>
          <w:sz w:val="32"/>
          <w:szCs w:val="32"/>
          <w:lang w:val="en-US" w:eastAsia="zh-CN" w:bidi="ar"/>
        </w:rPr>
        <w:drawing>
          <wp:anchor distT="0" distB="0" distL="114300" distR="114300" simplePos="0" relativeHeight="251660288" behindDoc="0" locked="0" layoutInCell="1" allowOverlap="1">
            <wp:simplePos x="0" y="0"/>
            <wp:positionH relativeFrom="column">
              <wp:posOffset>-387350</wp:posOffset>
            </wp:positionH>
            <wp:positionV relativeFrom="paragraph">
              <wp:posOffset>76835</wp:posOffset>
            </wp:positionV>
            <wp:extent cx="5812790" cy="6934835"/>
            <wp:effectExtent l="0" t="0" r="16510" b="18415"/>
            <wp:wrapNone/>
            <wp:docPr id="3" name="图片 3" descr="9e00161512f9c0f420e89e701626d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e00161512f9c0f420e89e701626dc93"/>
                    <pic:cNvPicPr>
                      <a:picLocks noChangeAspect="1"/>
                    </pic:cNvPicPr>
                  </pic:nvPicPr>
                  <pic:blipFill>
                    <a:blip r:embed="rId11"/>
                    <a:stretch>
                      <a:fillRect/>
                    </a:stretch>
                  </pic:blipFill>
                  <pic:spPr>
                    <a:xfrm>
                      <a:off x="0" y="0"/>
                      <a:ext cx="5812790" cy="6934835"/>
                    </a:xfrm>
                    <a:prstGeom prst="rect">
                      <a:avLst/>
                    </a:prstGeom>
                  </pic:spPr>
                </pic:pic>
              </a:graphicData>
            </a:graphic>
          </wp:anchor>
        </w:drawing>
      </w:r>
    </w:p>
    <w:p w14:paraId="24CC731A">
      <w:pPr>
        <w:keepNext w:val="0"/>
        <w:keepLines w:val="0"/>
        <w:pageBreakBefore w:val="0"/>
        <w:widowControl/>
        <w:kinsoku/>
        <w:wordWrap/>
        <w:overflowPunct/>
        <w:topLinePunct w:val="0"/>
        <w:autoSpaceDE/>
        <w:autoSpaceDN/>
        <w:bidi w:val="0"/>
        <w:adjustRightInd/>
        <w:snapToGrid/>
        <w:spacing w:line="560" w:lineRule="exact"/>
        <w:ind w:left="-210" w:leftChars="-100" w:right="-815" w:rightChars="-388" w:firstLine="420" w:firstLineChars="200"/>
        <w:jc w:val="left"/>
        <w:rPr>
          <w:rFonts w:hint="eastAsia" w:ascii="仿宋_GB2312" w:hAnsi="宋体" w:eastAsia="仿宋_GB2312"/>
          <w:color w:val="000000" w:themeColor="text1"/>
          <w:kern w:val="0"/>
          <w:szCs w:val="21"/>
          <w14:textFill>
            <w14:solidFill>
              <w14:schemeClr w14:val="tx1"/>
            </w14:solidFill>
          </w14:textFill>
        </w:rPr>
      </w:pPr>
    </w:p>
    <w:p w14:paraId="20E25453">
      <w:pPr>
        <w:keepNext w:val="0"/>
        <w:keepLines w:val="0"/>
        <w:pageBreakBefore w:val="0"/>
        <w:widowControl/>
        <w:kinsoku/>
        <w:wordWrap/>
        <w:overflowPunct/>
        <w:topLinePunct w:val="0"/>
        <w:autoSpaceDE/>
        <w:autoSpaceDN/>
        <w:bidi w:val="0"/>
        <w:adjustRightInd/>
        <w:snapToGrid/>
        <w:spacing w:line="560" w:lineRule="exact"/>
        <w:ind w:left="-210" w:leftChars="-100" w:right="-815" w:rightChars="-388" w:firstLine="420" w:firstLineChars="200"/>
        <w:jc w:val="left"/>
        <w:rPr>
          <w:rFonts w:hint="eastAsia" w:ascii="仿宋_GB2312" w:hAnsi="宋体" w:eastAsia="仿宋_GB2312"/>
          <w:color w:val="000000" w:themeColor="text1"/>
          <w:kern w:val="0"/>
          <w:szCs w:val="21"/>
          <w14:textFill>
            <w14:solidFill>
              <w14:schemeClr w14:val="tx1"/>
            </w14:solidFill>
          </w14:textFill>
        </w:rPr>
      </w:pPr>
    </w:p>
    <w:p w14:paraId="19A6232C">
      <w:pPr>
        <w:keepNext w:val="0"/>
        <w:keepLines w:val="0"/>
        <w:pageBreakBefore w:val="0"/>
        <w:widowControl/>
        <w:kinsoku/>
        <w:wordWrap/>
        <w:overflowPunct/>
        <w:topLinePunct w:val="0"/>
        <w:autoSpaceDE/>
        <w:autoSpaceDN/>
        <w:bidi w:val="0"/>
        <w:adjustRightInd/>
        <w:snapToGrid/>
        <w:spacing w:line="560" w:lineRule="exact"/>
        <w:ind w:left="-210" w:leftChars="-100" w:right="-815" w:rightChars="-388" w:firstLine="420" w:firstLineChars="200"/>
        <w:jc w:val="left"/>
        <w:rPr>
          <w:rFonts w:hint="eastAsia" w:ascii="仿宋_GB2312" w:hAnsi="宋体" w:eastAsia="仿宋_GB2312"/>
          <w:color w:val="000000" w:themeColor="text1"/>
          <w:kern w:val="0"/>
          <w:szCs w:val="21"/>
          <w14:textFill>
            <w14:solidFill>
              <w14:schemeClr w14:val="tx1"/>
            </w14:solidFill>
          </w14:textFill>
        </w:rPr>
      </w:pPr>
    </w:p>
    <w:p w14:paraId="797E382F">
      <w:pPr>
        <w:keepNext w:val="0"/>
        <w:keepLines w:val="0"/>
        <w:pageBreakBefore w:val="0"/>
        <w:widowControl/>
        <w:kinsoku/>
        <w:wordWrap/>
        <w:overflowPunct/>
        <w:topLinePunct w:val="0"/>
        <w:autoSpaceDE/>
        <w:autoSpaceDN/>
        <w:bidi w:val="0"/>
        <w:adjustRightInd/>
        <w:snapToGrid/>
        <w:spacing w:line="560" w:lineRule="exact"/>
        <w:ind w:left="-210" w:leftChars="-100" w:right="-815" w:rightChars="-388" w:firstLine="420" w:firstLineChars="200"/>
        <w:jc w:val="left"/>
        <w:rPr>
          <w:rFonts w:hint="eastAsia" w:ascii="仿宋_GB2312" w:hAnsi="宋体" w:eastAsia="仿宋_GB2312"/>
          <w:color w:val="000000" w:themeColor="text1"/>
          <w:kern w:val="0"/>
          <w:szCs w:val="21"/>
          <w14:textFill>
            <w14:solidFill>
              <w14:schemeClr w14:val="tx1"/>
            </w14:solidFill>
          </w14:textFill>
        </w:rPr>
      </w:pPr>
    </w:p>
    <w:p w14:paraId="0A007D5B">
      <w:pPr>
        <w:widowControl/>
        <w:shd w:val="clear" w:color="auto" w:fill="FFFFFF" w:themeFill="background1"/>
        <w:spacing w:line="520" w:lineRule="exact"/>
        <w:ind w:firstLine="640" w:firstLineChars="200"/>
        <w:jc w:val="left"/>
        <w:rPr>
          <w:rFonts w:hint="eastAsia" w:ascii="仿宋_GB2312" w:hAnsi="宋体" w:eastAsia="仿宋_GB2312" w:cs="仿宋_GB2312"/>
          <w:bCs/>
          <w:sz w:val="32"/>
          <w:szCs w:val="32"/>
        </w:rPr>
      </w:pPr>
    </w:p>
    <w:p w14:paraId="2B2BF774">
      <w:pPr>
        <w:widowControl/>
        <w:shd w:val="clear" w:color="auto" w:fill="FFFFFF" w:themeFill="background1"/>
        <w:spacing w:line="520" w:lineRule="exact"/>
        <w:ind w:firstLine="640" w:firstLineChars="200"/>
        <w:jc w:val="left"/>
        <w:rPr>
          <w:rFonts w:hint="eastAsia" w:ascii="仿宋_GB2312" w:hAnsi="宋体" w:eastAsia="仿宋_GB2312" w:cs="仿宋_GB2312"/>
          <w:bCs/>
          <w:sz w:val="32"/>
          <w:szCs w:val="32"/>
        </w:rPr>
      </w:pPr>
    </w:p>
    <w:p w14:paraId="7AC19681">
      <w:pPr>
        <w:widowControl/>
        <w:shd w:val="clear" w:color="auto" w:fill="FFFFFF" w:themeFill="background1"/>
        <w:spacing w:line="520" w:lineRule="exact"/>
        <w:ind w:firstLine="640" w:firstLineChars="200"/>
        <w:jc w:val="left"/>
        <w:rPr>
          <w:rFonts w:hint="eastAsia" w:ascii="仿宋_GB2312" w:hAnsi="宋体" w:eastAsia="仿宋_GB2312" w:cs="仿宋_GB2312"/>
          <w:bCs/>
          <w:sz w:val="32"/>
          <w:szCs w:val="32"/>
        </w:rPr>
      </w:pPr>
    </w:p>
    <w:p w14:paraId="2F503EAE">
      <w:pPr>
        <w:widowControl/>
        <w:shd w:val="clear" w:color="auto" w:fill="FFFFFF" w:themeFill="background1"/>
        <w:spacing w:line="520" w:lineRule="exact"/>
        <w:ind w:firstLine="640" w:firstLineChars="200"/>
        <w:jc w:val="left"/>
        <w:rPr>
          <w:rFonts w:hint="eastAsia" w:ascii="仿宋_GB2312" w:hAnsi="宋体" w:eastAsia="仿宋_GB2312" w:cs="仿宋_GB2312"/>
          <w:bCs/>
          <w:sz w:val="32"/>
          <w:szCs w:val="32"/>
        </w:rPr>
      </w:pPr>
    </w:p>
    <w:p w14:paraId="2BD75EC7">
      <w:pPr>
        <w:spacing w:line="520" w:lineRule="exact"/>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p>
    <w:p w14:paraId="22511817">
      <w:pPr>
        <w:spacing w:line="520" w:lineRule="exact"/>
        <w:jc w:val="center"/>
        <w:rPr>
          <w:rFonts w:hint="eastAsia" w:ascii="黑体" w:hAnsi="黑体" w:eastAsia="黑体" w:cs="黑体"/>
          <w:b/>
          <w:bCs/>
          <w:sz w:val="32"/>
          <w:szCs w:val="32"/>
          <w:lang w:val="en-US" w:eastAsia="zh-CN"/>
        </w:rPr>
      </w:pPr>
    </w:p>
    <w:p w14:paraId="3E203075">
      <w:pPr>
        <w:spacing w:line="520" w:lineRule="exact"/>
        <w:jc w:val="center"/>
        <w:rPr>
          <w:rFonts w:hint="eastAsia" w:ascii="黑体" w:hAnsi="黑体" w:eastAsia="黑体" w:cs="黑体"/>
          <w:b/>
          <w:bCs/>
          <w:sz w:val="32"/>
          <w:szCs w:val="32"/>
          <w:lang w:val="en-US" w:eastAsia="zh-CN"/>
        </w:rPr>
      </w:pPr>
    </w:p>
    <w:p w14:paraId="58DB5249">
      <w:pPr>
        <w:spacing w:line="520" w:lineRule="exact"/>
        <w:jc w:val="center"/>
        <w:rPr>
          <w:rFonts w:hint="eastAsia" w:ascii="黑体" w:hAnsi="黑体" w:eastAsia="黑体" w:cs="黑体"/>
          <w:b/>
          <w:bCs/>
          <w:sz w:val="32"/>
          <w:szCs w:val="32"/>
          <w:lang w:val="en-US" w:eastAsia="zh-CN"/>
        </w:rPr>
      </w:pPr>
    </w:p>
    <w:p w14:paraId="648B9884">
      <w:pPr>
        <w:spacing w:line="520" w:lineRule="exact"/>
        <w:jc w:val="center"/>
        <w:rPr>
          <w:rFonts w:hint="eastAsia" w:ascii="黑体" w:hAnsi="黑体" w:eastAsia="黑体" w:cs="黑体"/>
          <w:b/>
          <w:bCs/>
          <w:sz w:val="32"/>
          <w:szCs w:val="32"/>
          <w:lang w:val="en-US" w:eastAsia="zh-CN"/>
        </w:rPr>
      </w:pPr>
    </w:p>
    <w:p w14:paraId="0401B324">
      <w:pPr>
        <w:spacing w:line="520" w:lineRule="exact"/>
        <w:jc w:val="center"/>
        <w:rPr>
          <w:rFonts w:hint="eastAsia" w:ascii="黑体" w:hAnsi="黑体" w:eastAsia="黑体" w:cs="黑体"/>
          <w:b/>
          <w:bCs/>
          <w:sz w:val="32"/>
          <w:szCs w:val="32"/>
          <w:lang w:val="en-US" w:eastAsia="zh-CN"/>
        </w:rPr>
      </w:pPr>
    </w:p>
    <w:p w14:paraId="23BF51FB">
      <w:pPr>
        <w:spacing w:line="520" w:lineRule="exact"/>
        <w:jc w:val="center"/>
        <w:rPr>
          <w:rFonts w:hint="eastAsia" w:ascii="黑体" w:hAnsi="黑体" w:eastAsia="黑体" w:cs="黑体"/>
          <w:b/>
          <w:bCs/>
          <w:sz w:val="32"/>
          <w:szCs w:val="32"/>
          <w:lang w:val="en-US" w:eastAsia="zh-CN"/>
        </w:rPr>
      </w:pPr>
    </w:p>
    <w:p w14:paraId="0FA867E1">
      <w:pPr>
        <w:spacing w:line="520" w:lineRule="exact"/>
        <w:jc w:val="center"/>
        <w:rPr>
          <w:rFonts w:hint="eastAsia" w:ascii="黑体" w:hAnsi="黑体" w:eastAsia="黑体" w:cs="黑体"/>
          <w:b/>
          <w:bCs/>
          <w:sz w:val="32"/>
          <w:szCs w:val="32"/>
          <w:lang w:val="en-US" w:eastAsia="zh-CN"/>
        </w:rPr>
      </w:pPr>
    </w:p>
    <w:p w14:paraId="0BE41DA2">
      <w:pPr>
        <w:spacing w:line="520" w:lineRule="exact"/>
        <w:jc w:val="center"/>
        <w:rPr>
          <w:rFonts w:hint="eastAsia" w:ascii="黑体" w:hAnsi="黑体" w:eastAsia="黑体" w:cs="黑体"/>
          <w:b/>
          <w:bCs/>
          <w:sz w:val="32"/>
          <w:szCs w:val="32"/>
          <w:lang w:val="en-US" w:eastAsia="zh-CN"/>
        </w:rPr>
      </w:pPr>
    </w:p>
    <w:p w14:paraId="04B62F48">
      <w:pPr>
        <w:spacing w:line="520" w:lineRule="exact"/>
        <w:jc w:val="center"/>
        <w:rPr>
          <w:rFonts w:hint="eastAsia" w:ascii="黑体" w:hAnsi="黑体" w:eastAsia="黑体" w:cs="黑体"/>
          <w:b/>
          <w:bCs/>
          <w:sz w:val="32"/>
          <w:szCs w:val="32"/>
          <w:lang w:val="en-US" w:eastAsia="zh-CN"/>
        </w:rPr>
      </w:pPr>
    </w:p>
    <w:p w14:paraId="7667D7C8">
      <w:pPr>
        <w:spacing w:line="520" w:lineRule="exact"/>
        <w:jc w:val="center"/>
        <w:rPr>
          <w:rFonts w:hint="eastAsia" w:ascii="黑体" w:hAnsi="黑体" w:eastAsia="黑体" w:cs="黑体"/>
          <w:b/>
          <w:bCs/>
          <w:sz w:val="32"/>
          <w:szCs w:val="32"/>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物资采购篇：</w:t>
      </w:r>
    </w:p>
    <w:p w14:paraId="08CDF8BD">
      <w:pPr>
        <w:spacing w:line="520" w:lineRule="exact"/>
        <w:ind w:right="-197" w:rightChars="-94"/>
        <w:rPr>
          <w:rFonts w:ascii="仿宋_GB2312" w:eastAsia="仿宋_GB2312"/>
          <w:sz w:val="32"/>
          <w:szCs w:val="32"/>
        </w:rPr>
      </w:pPr>
      <w:r>
        <w:rPr>
          <w:rFonts w:hint="eastAsia" w:ascii="仿宋_GB2312" w:eastAsia="仿宋_GB2312"/>
          <w:sz w:val="32"/>
          <w:szCs w:val="32"/>
          <w:lang w:val="en-US" w:eastAsia="zh-CN"/>
        </w:rPr>
        <w:t>文</w:t>
      </w:r>
      <w:r>
        <w:rPr>
          <w:rFonts w:hint="eastAsia" w:ascii="仿宋_GB2312" w:eastAsia="仿宋_GB2312"/>
          <w:sz w:val="32"/>
          <w:szCs w:val="32"/>
        </w:rPr>
        <w:t>件10</w:t>
      </w:r>
    </w:p>
    <w:p w14:paraId="4D5C908F">
      <w:pPr>
        <w:spacing w:line="520" w:lineRule="exact"/>
        <w:ind w:right="-197" w:rightChars="-94"/>
        <w:jc w:val="center"/>
        <w:rPr>
          <w:rFonts w:hint="eastAsia" w:ascii="黑体" w:hAnsi="黑体" w:eastAsia="黑体" w:cs="黑体"/>
          <w:bCs/>
          <w:sz w:val="44"/>
          <w:szCs w:val="44"/>
        </w:rPr>
      </w:pPr>
    </w:p>
    <w:p w14:paraId="6F694A5A">
      <w:pPr>
        <w:spacing w:line="240" w:lineRule="auto"/>
        <w:ind w:right="-197" w:rightChars="-94"/>
        <w:jc w:val="center"/>
        <w:rPr>
          <w:rFonts w:hint="eastAsia" w:ascii="黑体" w:hAnsi="黑体" w:eastAsia="黑体" w:cs="黑体"/>
          <w:bCs/>
          <w:sz w:val="44"/>
          <w:szCs w:val="44"/>
        </w:rPr>
      </w:pPr>
    </w:p>
    <w:p w14:paraId="0E55352F">
      <w:pPr>
        <w:spacing w:line="240" w:lineRule="auto"/>
        <w:ind w:right="-197" w:rightChars="-94"/>
        <w:jc w:val="center"/>
        <w:rPr>
          <w:rFonts w:hint="eastAsia" w:ascii="黑体" w:hAnsi="黑体" w:eastAsia="黑体" w:cs="黑体"/>
          <w:bCs/>
          <w:sz w:val="44"/>
          <w:szCs w:val="44"/>
        </w:rPr>
      </w:pPr>
    </w:p>
    <w:p w14:paraId="566B60BC">
      <w:pP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br w:type="page"/>
      </w:r>
    </w:p>
    <w:p w14:paraId="732A7143">
      <w:pPr>
        <w:spacing w:line="240" w:lineRule="auto"/>
        <w:ind w:right="-197" w:rightChars="-94"/>
        <w:jc w:val="left"/>
        <w:rPr>
          <w:rFonts w:hint="eastAsia" w:ascii="黑体" w:hAnsi="黑体" w:eastAsia="黑体" w:cs="黑体"/>
          <w:bCs/>
          <w:color w:val="000000" w:themeColor="text1"/>
          <w:sz w:val="32"/>
          <w:szCs w:val="32"/>
          <w:lang w:val="en-US" w:eastAsia="zh-CN"/>
          <w14:textFill>
            <w14:solidFill>
              <w14:schemeClr w14:val="tx1"/>
            </w14:solidFill>
          </w14:textFill>
        </w:rPr>
      </w:pPr>
      <w:r>
        <w:rPr>
          <w:rFonts w:hint="eastAsia" w:ascii="黑体" w:hAnsi="黑体" w:eastAsia="黑体" w:cs="黑体"/>
          <w:bCs/>
          <w:color w:val="000000" w:themeColor="text1"/>
          <w:sz w:val="32"/>
          <w:szCs w:val="32"/>
          <w:lang w:val="en-US" w:eastAsia="zh-CN"/>
          <w14:textFill>
            <w14:solidFill>
              <w14:schemeClr w14:val="tx1"/>
            </w14:solidFill>
          </w14:textFill>
        </w:rPr>
        <w:t>附件10</w:t>
      </w:r>
    </w:p>
    <w:p w14:paraId="11E0B410">
      <w:pPr>
        <w:spacing w:line="240" w:lineRule="auto"/>
        <w:ind w:right="-197" w:rightChars="-94"/>
        <w:jc w:val="center"/>
        <w:rPr>
          <w:rFonts w:hint="eastAsia" w:ascii="方正小标宋简体" w:hAnsi="方正小标宋简体" w:eastAsia="方正小标宋简体" w:cs="方正小标宋简体"/>
          <w:b w:val="0"/>
          <w:bCs/>
          <w:color w:val="000000" w:themeColor="text1"/>
          <w:kern w:val="0"/>
          <w:sz w:val="44"/>
          <w:szCs w:val="44"/>
          <w14:textFill>
            <w14:solidFill>
              <w14:schemeClr w14:val="tx1"/>
            </w14:solidFill>
          </w14:textFill>
        </w:rPr>
      </w:pPr>
      <w:r>
        <w:rPr>
          <w:rFonts w:hint="eastAsia" w:ascii="方正小标宋简体" w:hAnsi="方正小标宋简体" w:eastAsia="方正小标宋简体" w:cs="方正小标宋简体"/>
          <w:b w:val="0"/>
          <w:bCs/>
          <w:sz w:val="44"/>
          <w:szCs w:val="44"/>
        </w:rPr>
        <w:t>2026年煤炭采购管理办法</w:t>
      </w:r>
    </w:p>
    <w:p w14:paraId="74687F62">
      <w:pPr>
        <w:widowControl/>
        <w:spacing w:line="240" w:lineRule="auto"/>
        <w:jc w:val="center"/>
        <w:rPr>
          <w:rFonts w:hint="eastAsia" w:ascii="黑体" w:hAnsi="黑体" w:eastAsia="黑体" w:cs="黑体"/>
          <w:b w:val="0"/>
          <w:bCs/>
          <w:color w:val="000000" w:themeColor="text1"/>
          <w:kern w:val="0"/>
          <w:sz w:val="32"/>
          <w:szCs w:val="32"/>
          <w14:textFill>
            <w14:solidFill>
              <w14:schemeClr w14:val="tx1"/>
            </w14:solidFill>
          </w14:textFill>
        </w:rPr>
      </w:pPr>
      <w:r>
        <w:rPr>
          <w:rFonts w:hint="eastAsia" w:ascii="黑体" w:hAnsi="黑体" w:eastAsia="黑体" w:cs="黑体"/>
          <w:b w:val="0"/>
          <w:bCs/>
          <w:color w:val="000000" w:themeColor="text1"/>
          <w:kern w:val="0"/>
          <w:sz w:val="32"/>
          <w:szCs w:val="32"/>
          <w14:textFill>
            <w14:solidFill>
              <w14:schemeClr w14:val="tx1"/>
            </w14:solidFill>
          </w14:textFill>
        </w:rPr>
        <w:t>第一章</w:t>
      </w:r>
      <w:r>
        <w:rPr>
          <w:rFonts w:hint="eastAsia" w:ascii="黑体" w:hAnsi="黑体" w:eastAsia="黑体" w:cs="黑体"/>
          <w:b w:val="0"/>
          <w:bCs/>
          <w:color w:val="000000" w:themeColor="text1"/>
          <w:kern w:val="0"/>
          <w:sz w:val="32"/>
          <w:szCs w:val="32"/>
          <w:lang w:val="en-US" w:eastAsia="zh-CN"/>
          <w14:textFill>
            <w14:solidFill>
              <w14:schemeClr w14:val="tx1"/>
            </w14:solidFill>
          </w14:textFill>
        </w:rPr>
        <w:t xml:space="preserve"> </w:t>
      </w:r>
      <w:r>
        <w:rPr>
          <w:rFonts w:hint="eastAsia" w:ascii="黑体" w:hAnsi="黑体" w:eastAsia="黑体" w:cs="黑体"/>
          <w:b w:val="0"/>
          <w:bCs/>
          <w:color w:val="000000" w:themeColor="text1"/>
          <w:kern w:val="0"/>
          <w:sz w:val="32"/>
          <w:szCs w:val="32"/>
          <w14:textFill>
            <w14:solidFill>
              <w14:schemeClr w14:val="tx1"/>
            </w14:solidFill>
          </w14:textFill>
        </w:rPr>
        <w:t>总则</w:t>
      </w:r>
    </w:p>
    <w:p w14:paraId="67EBCDE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 xml:space="preserve">第一条 为加强公司煤炭采购的管理，规范煤炭采购流程，降低采购成本，拓宽煤炭采购渠道，结合公司实际，制定本办法。 </w:t>
      </w:r>
    </w:p>
    <w:p w14:paraId="588BE27A">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第二章 管理机构及职责</w:t>
      </w:r>
    </w:p>
    <w:p w14:paraId="6F0C9EB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第二条 销售采购部为煤炭采购部门。负责与长期合作煤矿签订煤炭采购合同及费用结算工作；负责与煤炭运输单位签订煤炭运输合同及运输费用结算工作；负责按公司生产需求组织煤炭进厂，保证公司正常生产用煤；负责煤炭供应商管理，从源头把好煤炭质量关；负责煤炭到货数量及费用统计，向财务部提供周、月度煤炭采购资金计划及报表；负责收集煤炭价格信息，根据市场变化，及时向公司提供决策依据。</w:t>
      </w:r>
    </w:p>
    <w:p w14:paraId="5CBE998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第三条 调度指挥中心负责进厂煤炭日常计量管理，对销售采购部提供的煤炭进厂数量进行复核，确保计量数据的准确性和连续性；负责对煤炭进厂后进行取样、检测并及时向销售采购部等相关部门提供煤炭质量分析报告和数量计量单据等相关数据资料；负责配合销售采购部等相关部门处理有关煤质纠纷和计量纠纷。</w:t>
      </w:r>
    </w:p>
    <w:p w14:paraId="02BF1C8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第四条 生产技术部负责进厂煤炭的及时安全接收、卸车、储存、转运等相关工作；负责向经管物资部、销售采购部等相关部门提供日常、月度各类煤炭库存情况、煤炭消耗等相关数据资料。</w:t>
      </w:r>
    </w:p>
    <w:p w14:paraId="1FB9B8B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第五条 财务部负责按公司审定的资金预算，安排煤炭采购资金的支付与负责对煤炭到货计量及费用的复核；组织生产技术部、销售采购部等相关单位每月定期和不定期对煤炭库存进行盘点，并编制煤炭库存盘点表，核实盘盈盘亏原因，提供煤炭生产消耗、库存、采购量等相关信息。</w:t>
      </w:r>
    </w:p>
    <w:p w14:paraId="65FFFDA3">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第三章 计划管理</w:t>
      </w:r>
    </w:p>
    <w:p w14:paraId="4760B03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第六条 生产技术部根据年度（月度）生产计划和煤炭消耗定额编制煤炭需求计划，报公司审定。</w:t>
      </w:r>
    </w:p>
    <w:p w14:paraId="3F5A1C0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第七条 销售采购部根据公司年度（月度）煤炭需求计划，结合煤炭实际库存，煤矿资源的供应情况、运输发运情况、煤炭市场价格趋势等相关信息，向财务部报送年度（月度）煤炭采购资金计划，向合作煤矿送达年度（月度）煤炭采购计划。</w:t>
      </w:r>
    </w:p>
    <w:p w14:paraId="6C68DFBB">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第四章 煤炭采购流程</w:t>
      </w:r>
    </w:p>
    <w:p w14:paraId="135C85D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第八条 销售采购部根据煤质厂控指标和年度需求量选择适合的矿源，并与其签订年度购买合同；</w:t>
      </w:r>
    </w:p>
    <w:p w14:paraId="5892D5E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第九条 煤炭采购原则：优先采购长期合作煤矿，当长期合作煤矿达二家以上时，首选煤炭性价比高的合作煤矿采购；为满足公司生产日使用量、与其他煤矿合同关系，适当采购符合生产要求的其他煤矿煤炭。</w:t>
      </w:r>
    </w:p>
    <w:p w14:paraId="6DF1AF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第十条 当遇到外部煤炭市场资源紧张、运输困难、极端天气等特殊情况导致厂内煤炭库存处于警戒线以下时，为确保公司正常生产用煤，经公司分管领导、总经理批准后，销售采购部实施煤炭紧急采购方式，通过购买周边煤场的、符合我公司生产用煤标准的煤炭，确保公司安全生产。</w:t>
      </w:r>
    </w:p>
    <w:p w14:paraId="79CE6A2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第十一条 煤炭采购资金的支付根据煤炭库存和生产实际，以及各矿源出矿价和煤质，编制每批次煤炭采购计划表，经部门领导审核、分管领导同意、总经理审批后执行。见附表（各矿煤质、预付款余额、建议采购数量、出矿单价、运费、需要支付金额等）。</w:t>
      </w:r>
    </w:p>
    <w:p w14:paraId="7308B20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第十二条 采购计划按照公司煤炭采购计划领导小组每日召开的专题会议以及煤炭性价比测算结果，讨论决定执行。</w:t>
      </w:r>
    </w:p>
    <w:p w14:paraId="0E54BA1D">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第五章 定价、计量与结算</w:t>
      </w:r>
    </w:p>
    <w:p w14:paraId="08A9213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第十三条 煤炭采购价格由两部分组成：煤炭单价和煤炭运输单价。</w:t>
      </w:r>
    </w:p>
    <w:p w14:paraId="2EA83A7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煤炭单价以选定的煤矿调价函或紧急采购报告批准的价格为准；</w:t>
      </w:r>
    </w:p>
    <w:p w14:paraId="62C6940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煤炭运输单价是以通过招标确定的公路运价下浮比例，结合国能互通能源产业互联网平台公布的鄂尔多斯煤炭公路运价指数和指定煤矿运距计算煤炭运输单价。</w:t>
      </w:r>
    </w:p>
    <w:p w14:paraId="3C76920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第十四条 煤炭运输单价按月调价，每月根据上月10日、20日、30日国能互通能源产业互联网平台公布的鄂尔多斯煤炭中（短）途公路运价算术平均数，以招标确定的下浮比例和运距计算煤炭运输单价。</w:t>
      </w:r>
    </w:p>
    <w:p w14:paraId="7CD562E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第十五条 煤炭计量以指定煤矿出矿磅单为准，到厂过磅计量在3‰以内的为运输合理损耗，超过3‰由运输公司承担，从运输费用中直接扣除。</w:t>
      </w:r>
    </w:p>
    <w:p w14:paraId="70B29FC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第十六条 销售采购部为煤炭采购合同的履行部门，定期与煤炭供应单位核实煤炭采购价格和过磅计量数据，经双方确认后，煤炭供应单位开具增值税发票，销售采购部负责按照财务系统要求，办理煤炭增值税发票入账工作。</w:t>
      </w:r>
    </w:p>
    <w:p w14:paraId="78CD878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第十七条 销售采购部为煤炭运输合同的履行部门，定期与煤炭运输单位核实国能互通能源产业互联网平台公布的鄂尔多斯煤炭公路运价指数、煤矿运距和过磅计量数据，经双方确认后，煤炭运输单位开具增值税发票，销售采购部负责按照财务系统要求，办理煤炭运输增值税发票入账工作。</w:t>
      </w:r>
    </w:p>
    <w:p w14:paraId="0F2A0E4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第十八条 销售采购部根据大宗物料系统磅单统计编制煤炭月度供应报表。煤炭月度供应报表一式两份，经司磅站、财务部复核后，一份交财务部，一份留档备查。</w:t>
      </w:r>
    </w:p>
    <w:p w14:paraId="42903338">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第六章 煤炭质量、验收、检验管理</w:t>
      </w:r>
    </w:p>
    <w:p w14:paraId="1CA464D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第十九条 煤炭质量指标</w:t>
      </w:r>
    </w:p>
    <w:p w14:paraId="4558B21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执行《西北能化公司关于制定2026年内控工艺指标、产品质量与原材料指标的通知》要求</w:t>
      </w:r>
    </w:p>
    <w:p w14:paraId="3CE37AC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楷体_GB2312" w:hAnsi="楷体_GB2312" w:eastAsia="楷体_GB2312" w:cs="楷体_GB2312"/>
          <w:bCs/>
          <w:sz w:val="32"/>
          <w:szCs w:val="32"/>
          <w:lang w:val="en-US" w:eastAsia="zh-CN"/>
        </w:rPr>
        <w:t>（一）动力煤质量指标（以收到基计）：</w:t>
      </w:r>
      <w:r>
        <w:rPr>
          <w:rFonts w:hint="eastAsia" w:ascii="仿宋_GB2312" w:hAnsi="宋体" w:eastAsia="仿宋_GB2312" w:cs="仿宋_GB2312"/>
          <w:bCs/>
          <w:sz w:val="32"/>
          <w:szCs w:val="32"/>
          <w:lang w:val="en-US" w:eastAsia="zh-CN"/>
        </w:rPr>
        <w:t>收到基低位发热量＞4000卡（唐家会动力煤＞3950卡）、灰分≤30%、水分≤14.5%、硫含量≤1%。</w:t>
      </w:r>
    </w:p>
    <w:p w14:paraId="7D299B8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楷体_GB2312" w:hAnsi="楷体_GB2312" w:eastAsia="楷体_GB2312" w:cs="楷体_GB2312"/>
          <w:bCs/>
          <w:sz w:val="32"/>
          <w:szCs w:val="32"/>
          <w:lang w:val="en-US" w:eastAsia="zh-CN"/>
        </w:rPr>
        <w:t>（二）原料煤质量指标（以收到基计）：</w:t>
      </w:r>
      <w:r>
        <w:rPr>
          <w:rFonts w:hint="eastAsia" w:ascii="仿宋_GB2312" w:hAnsi="宋体" w:eastAsia="仿宋_GB2312" w:cs="仿宋_GB2312"/>
          <w:bCs/>
          <w:sz w:val="32"/>
          <w:szCs w:val="32"/>
          <w:lang w:val="en-US" w:eastAsia="zh-CN"/>
        </w:rPr>
        <w:t>收到基低位发热量5500±200卡、灰分≤7.5%、水分≤20%、硫含量≤1%、灰熔融性流动温度（FT）＜1260℃。</w:t>
      </w:r>
    </w:p>
    <w:p w14:paraId="712FCAC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第二十条 煤炭验收采样程序</w:t>
      </w:r>
    </w:p>
    <w:p w14:paraId="28E50A6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（一）煤炭进厂后，调度指挥中心质检中心应采用煤质快速分析仪进行采样、检测，煤质主要指标合格方可卸煤。每日对同一矿源收集的样品进行常规分析。</w:t>
      </w:r>
    </w:p>
    <w:p w14:paraId="7687834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调度指挥中心质检中心进行煤炭取样时，须严格按照国家制定的相关煤炭采样、制样管理规定和我公司进厂煤炭采样、制样管理规定进行，所取煤样须具有代表性，采样后由调度指挥中心质检中心分析人员制样、分样、留样、分析，确保煤样分析化验结果能准确代表煤炭的实际质量。</w:t>
      </w:r>
    </w:p>
    <w:p w14:paraId="127CC04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分析人员应按GB474-2008《煤样的制备方法》对煤样进行制备，并留足封样。进厂煤炭只保留一个样品。留样瓶或封存袋上要粘贴封样标签，标签上应注明取样日期、取样地点、样品名称、封样人姓名等内容，并贴紧留样瓶或封存袋封口，样品名称应与分析报告单一致。建立留样登记记录。封样保存期为2个月。任何单位启封留样须经调度指挥中心批准后方可进行。</w:t>
      </w:r>
    </w:p>
    <w:p w14:paraId="293C715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第二十一条 质量检验</w:t>
      </w:r>
    </w:p>
    <w:p w14:paraId="108267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（一）质检中心工作人员应按现行有效的煤炭试验方法标准，对制备的煤样进行分析检验，建立煤炭分析数据台账，保存煤炭分析数据记录。</w:t>
      </w:r>
    </w:p>
    <w:p w14:paraId="79EBFC7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（二）质检中心工作人员在取样分析完成后，及时将检验结果通过西北能化煤炭群通知销售采购部等相关部门；根据需要将分析纸质报表一式两份签字盖章报销售采购部。</w:t>
      </w:r>
    </w:p>
    <w:p w14:paraId="14EBC70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（三）有下列情况之一时，须进行二次取样：</w:t>
      </w:r>
    </w:p>
    <w:p w14:paraId="15484D5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1.进厂煤炭一次取样分析合格，但在卸煤作业中发现有上下分层，夹杂有煤矸石或杂物的情况；</w:t>
      </w:r>
    </w:p>
    <w:p w14:paraId="5479666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2.煤炭运输单位对一次检验结果持有异议并提出复检要求的；</w:t>
      </w:r>
    </w:p>
    <w:p w14:paraId="581BB8C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（四）二次取样工作程序：</w:t>
      </w:r>
    </w:p>
    <w:p w14:paraId="0420DFF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1.由生产技术部、销售采购部等相关单位人员到现场共同二次取样。如发生煤炭运输单位对一次检验结果持有异议并提出复检要求的情况需要二次取样时，销售采购部通知生产技术部、煤炭运输单位等相关单位三方人员到现场共同二次取样。</w:t>
      </w:r>
    </w:p>
    <w:p w14:paraId="5FA1503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2.二次取样时，如需要煤炭运输单位参加时，由销售采购部负责通知煤炭运输单位到场。煤炭运输单位在24小时内不能到厂参加取样，可通过微信发函的方式确认由销售采购部和生产技术部共同进行二次取样，否则视为认同二次取样检验结果。</w:t>
      </w:r>
    </w:p>
    <w:p w14:paraId="42424D0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3.销售采购部、生产技术部、煤炭运输单位人员到场后，调度指挥中心质检中心检验人员在听取销售采购部、煤炭运输单位意见的基础上，按照国标要求确定采样位置。取样后出具分析结果。销售采购部、生产技术部、煤炭运输单位共同对煤样进行封样备查。</w:t>
      </w:r>
    </w:p>
    <w:p w14:paraId="217C109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五）销售采购部负责比对分析化验结果（化验结果的传递方式、要求时间与第一次采样相同）。若二次采样分析结果与一次采样分析结果差异在合理范围内，可按一次采样的分析结果进行计算。如超出合理范围，则按二次采样分析结果进行计算。</w:t>
      </w:r>
    </w:p>
    <w:p w14:paraId="28710E4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六）销售采购部、生产技术部、煤炭运输单位任何一方对二次分析结果仍持异议，由异议方报告调度指挥中心，经其认可后，由生产技术部再次取样并封样，会同销售采购部、煤炭运输单位送政府质检部门分析裁定。过失方对由此而造成的影响卸煤作业、滞车损失负责。</w:t>
      </w:r>
    </w:p>
    <w:p w14:paraId="0EA96C1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第二十二条 煤炭接收。</w:t>
      </w:r>
    </w:p>
    <w:p w14:paraId="41C7A7E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煤炭采购是根据煤矿提供的煤质检验报告及我公司现场采样分析后的检验报告单为基准进行的，以预付款为主的采购方式，煤炭出矿无法办理退货程序。</w:t>
      </w:r>
    </w:p>
    <w:p w14:paraId="40DD1A4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合格煤炭接收：生产技术部负责将合格的煤炭，按生产需求，及时办理煤炭入仓的相关工作；</w:t>
      </w:r>
    </w:p>
    <w:p w14:paraId="1C2985F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不合格煤炭接收：经煤质在线检测不符合进厂标准的、现场采样分析仍不合格的煤炭，质检中心应立即通知调度指挥中心，由调度指挥中心通知销售采购部暂停采购该煤种；已进厂或在途的该煤种，由调度指挥中心按照西北能化销售（2023）120号《关于煤质验收的管理规定》协调卸车。</w:t>
      </w:r>
    </w:p>
    <w:p w14:paraId="6F3688C1">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第七章 监督与考核</w:t>
      </w:r>
    </w:p>
    <w:p w14:paraId="4429F07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第二十三条 对煤炭运输单位的考核，由销售采购部根据质检中心提供的煤炭指标结果，经查实存在换煤、加水等危害公司用煤安全的行为，由销售采购部按照合同约定进行考核计算，考核计算结果报部门负责人、分管领导审核，通知煤炭运输单位执行。</w:t>
      </w:r>
    </w:p>
    <w:p w14:paraId="6957C4EF">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第二十四条 根据煤炭供应矿点的开发、煤炭采购过程中节约的成本，视贡献额度上报公司申请绩效奖励；对确因工作疏忽，造成煤炭供应不足，甚至减产、停产的，给予适当的经济或行政处罚。</w:t>
      </w:r>
    </w:p>
    <w:p w14:paraId="3B333ED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第二十五条 煤炭采购相关人员如有和长期合作煤矿、煤炭运输单位相互勾结，获取不正当利益，损害公司利益的行为，一经查实，解除劳动合同，触犯法律的移交司法机关处理。</w:t>
      </w:r>
    </w:p>
    <w:p w14:paraId="53E03BC9">
      <w:pPr>
        <w:widowControl/>
        <w:spacing w:line="240" w:lineRule="auto"/>
        <w:jc w:val="center"/>
        <w:rPr>
          <w:rFonts w:hint="eastAsia" w:ascii="黑体" w:hAnsi="黑体" w:eastAsia="黑体" w:cs="黑体"/>
          <w:b w:val="0"/>
          <w:bCs/>
          <w:color w:val="000000" w:themeColor="text1"/>
          <w:kern w:val="0"/>
          <w:sz w:val="32"/>
          <w:szCs w:val="32"/>
          <w:lang w:val="en-US" w:eastAsia="zh-CN"/>
          <w14:textFill>
            <w14:solidFill>
              <w14:schemeClr w14:val="tx1"/>
            </w14:solidFill>
          </w14:textFill>
        </w:rPr>
      </w:pPr>
      <w:r>
        <w:rPr>
          <w:rFonts w:hint="eastAsia" w:ascii="黑体" w:hAnsi="黑体" w:eastAsia="黑体" w:cs="黑体"/>
          <w:b w:val="0"/>
          <w:bCs/>
          <w:color w:val="000000" w:themeColor="text1"/>
          <w:kern w:val="0"/>
          <w:sz w:val="32"/>
          <w:szCs w:val="32"/>
          <w:lang w:val="en-US" w:eastAsia="zh-CN"/>
          <w14:textFill>
            <w14:solidFill>
              <w14:schemeClr w14:val="tx1"/>
            </w14:solidFill>
          </w14:textFill>
        </w:rPr>
        <w:t>第八章 附则</w:t>
      </w:r>
    </w:p>
    <w:p w14:paraId="5C62680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第二十六条 本办法自印发之日起施行，原西北能化经营〔2025〕2号西北能化公司2025年经营管理与监督考核实施意见中附件13《煤炭采购管理办法》同时废止。</w:t>
      </w:r>
    </w:p>
    <w:p w14:paraId="2C93352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p>
    <w:p w14:paraId="463CF45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bCs/>
          <w:sz w:val="32"/>
          <w:szCs w:val="32"/>
          <w:lang w:val="en-US" w:eastAsia="zh-CN"/>
        </w:rPr>
      </w:pPr>
      <w:r>
        <w:rPr>
          <w:rFonts w:hint="eastAsia" w:ascii="仿宋_GB2312" w:hAnsi="宋体" w:eastAsia="仿宋_GB2312" w:cs="仿宋_GB2312"/>
          <w:bCs/>
          <w:sz w:val="32"/>
          <w:szCs w:val="32"/>
          <w:lang w:val="en-US" w:eastAsia="zh-CN"/>
        </w:rPr>
        <w:t>附</w:t>
      </w:r>
      <w:r>
        <w:rPr>
          <w:rFonts w:hint="eastAsia" w:ascii="仿宋_GB2312" w:hAnsi="宋体" w:eastAsia="仿宋_GB2312" w:cs="仿宋_GB2312"/>
          <w:bCs/>
          <w:sz w:val="32"/>
          <w:szCs w:val="32"/>
          <w:lang w:val="en-US" w:eastAsia="zh-CN"/>
        </w:rPr>
        <w:t>表：批次煤炭采购计划表</w:t>
      </w:r>
    </w:p>
    <w:p w14:paraId="7629C34D">
      <w:pPr>
        <w:spacing w:line="240" w:lineRule="auto"/>
        <w:rPr>
          <w:rFonts w:ascii="仿宋_GB2312" w:eastAsia="仿宋_GB2312"/>
          <w:color w:val="000000" w:themeColor="text1"/>
          <w:sz w:val="32"/>
          <w:szCs w:val="32"/>
          <w14:textFill>
            <w14:solidFill>
              <w14:schemeClr w14:val="tx1"/>
            </w14:solidFill>
          </w14:textFill>
        </w:rPr>
        <w:sectPr>
          <w:footerReference r:id="rId3" w:type="default"/>
          <w:pgSz w:w="11906" w:h="16838"/>
          <w:pgMar w:top="1440" w:right="1701" w:bottom="1440" w:left="1701" w:header="851" w:footer="992" w:gutter="0"/>
          <w:cols w:space="425" w:num="1"/>
          <w:docGrid w:type="lines" w:linePitch="312" w:charSpace="0"/>
        </w:sectPr>
      </w:pPr>
    </w:p>
    <w:tbl>
      <w:tblPr>
        <w:tblStyle w:val="10"/>
        <w:tblW w:w="5106" w:type="pct"/>
        <w:tblInd w:w="0" w:type="dxa"/>
        <w:tblLayout w:type="fixed"/>
        <w:tblCellMar>
          <w:top w:w="0" w:type="dxa"/>
          <w:left w:w="108" w:type="dxa"/>
          <w:bottom w:w="0" w:type="dxa"/>
          <w:right w:w="108" w:type="dxa"/>
        </w:tblCellMar>
      </w:tblPr>
      <w:tblGrid>
        <w:gridCol w:w="1454"/>
        <w:gridCol w:w="1080"/>
        <w:gridCol w:w="839"/>
        <w:gridCol w:w="839"/>
        <w:gridCol w:w="1216"/>
        <w:gridCol w:w="1378"/>
        <w:gridCol w:w="1138"/>
        <w:gridCol w:w="1410"/>
        <w:gridCol w:w="1392"/>
        <w:gridCol w:w="1392"/>
        <w:gridCol w:w="1392"/>
        <w:gridCol w:w="944"/>
      </w:tblGrid>
      <w:tr w14:paraId="2D103191">
        <w:tblPrEx>
          <w:tblCellMar>
            <w:top w:w="0" w:type="dxa"/>
            <w:left w:w="108" w:type="dxa"/>
            <w:bottom w:w="0" w:type="dxa"/>
            <w:right w:w="108" w:type="dxa"/>
          </w:tblCellMar>
        </w:tblPrEx>
        <w:trPr>
          <w:trHeight w:val="990" w:hRule="atLeast"/>
        </w:trPr>
        <w:tc>
          <w:tcPr>
            <w:tcW w:w="5000" w:type="pct"/>
            <w:gridSpan w:val="12"/>
            <w:tcBorders>
              <w:top w:val="nil"/>
              <w:left w:val="nil"/>
              <w:bottom w:val="nil"/>
              <w:right w:val="nil"/>
            </w:tcBorders>
            <w:noWrap/>
            <w:vAlign w:val="center"/>
          </w:tcPr>
          <w:p w14:paraId="3B364C0C">
            <w:pPr>
              <w:widowControl/>
              <w:jc w:val="center"/>
              <w:textAlignment w:val="center"/>
              <w:rPr>
                <w:rFonts w:hint="eastAsia"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kern w:val="0"/>
                <w:sz w:val="44"/>
                <w:szCs w:val="44"/>
                <w:lang w:bidi="ar"/>
                <w14:textFill>
                  <w14:solidFill>
                    <w14:schemeClr w14:val="tx1"/>
                  </w14:solidFill>
                </w14:textFill>
              </w:rPr>
              <w:t>批次煤炭采购计划表</w:t>
            </w:r>
          </w:p>
        </w:tc>
      </w:tr>
      <w:tr w14:paraId="6B558656">
        <w:tblPrEx>
          <w:tblCellMar>
            <w:top w:w="0" w:type="dxa"/>
            <w:left w:w="108" w:type="dxa"/>
            <w:bottom w:w="0" w:type="dxa"/>
            <w:right w:w="108" w:type="dxa"/>
          </w:tblCellMar>
        </w:tblPrEx>
        <w:trPr>
          <w:trHeight w:val="261" w:hRule="atLeast"/>
        </w:trPr>
        <w:tc>
          <w:tcPr>
            <w:tcW w:w="502" w:type="pct"/>
            <w:vMerge w:val="restart"/>
            <w:tcBorders>
              <w:top w:val="single" w:color="000000" w:sz="4" w:space="0"/>
              <w:left w:val="single" w:color="000000" w:sz="4" w:space="0"/>
              <w:bottom w:val="single" w:color="000000" w:sz="4" w:space="0"/>
              <w:right w:val="single" w:color="000000" w:sz="4" w:space="0"/>
            </w:tcBorders>
            <w:noWrap/>
            <w:vAlign w:val="center"/>
          </w:tcPr>
          <w:p w14:paraId="614A4CE8">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煤矿名称</w:t>
            </w:r>
          </w:p>
        </w:tc>
        <w:tc>
          <w:tcPr>
            <w:tcW w:w="1373" w:type="pct"/>
            <w:gridSpan w:val="4"/>
            <w:tcBorders>
              <w:top w:val="single" w:color="000000" w:sz="4" w:space="0"/>
              <w:left w:val="single" w:color="000000" w:sz="4" w:space="0"/>
              <w:bottom w:val="single" w:color="000000" w:sz="4" w:space="0"/>
              <w:right w:val="single" w:color="000000" w:sz="4" w:space="0"/>
            </w:tcBorders>
            <w:noWrap/>
            <w:vAlign w:val="center"/>
          </w:tcPr>
          <w:p w14:paraId="7A755A30">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上次检测煤炭主要指标</w:t>
            </w:r>
          </w:p>
        </w:tc>
        <w:tc>
          <w:tcPr>
            <w:tcW w:w="476" w:type="pct"/>
            <w:vMerge w:val="restart"/>
            <w:tcBorders>
              <w:top w:val="single" w:color="000000" w:sz="4" w:space="0"/>
              <w:left w:val="single" w:color="000000" w:sz="4" w:space="0"/>
              <w:bottom w:val="single" w:color="000000" w:sz="4" w:space="0"/>
              <w:right w:val="single" w:color="000000" w:sz="4" w:space="0"/>
            </w:tcBorders>
            <w:vAlign w:val="center"/>
          </w:tcPr>
          <w:p w14:paraId="0311D196">
            <w:pPr>
              <w:widowControl/>
              <w:jc w:val="center"/>
              <w:textAlignment w:val="center"/>
              <w:rPr>
                <w:rFonts w:hint="eastAsia" w:ascii="宋体" w:hAnsi="宋体" w:cs="宋体"/>
                <w:color w:val="000000" w:themeColor="text1"/>
                <w:kern w:val="0"/>
                <w:sz w:val="28"/>
                <w:szCs w:val="28"/>
                <w:lang w:bidi="ar"/>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上次余额</w:t>
            </w:r>
          </w:p>
          <w:p w14:paraId="5DA21B91">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（万元）</w:t>
            </w:r>
          </w:p>
        </w:tc>
        <w:tc>
          <w:tcPr>
            <w:tcW w:w="393" w:type="pct"/>
            <w:vMerge w:val="restart"/>
            <w:tcBorders>
              <w:top w:val="single" w:color="000000" w:sz="4" w:space="0"/>
              <w:left w:val="single" w:color="000000" w:sz="4" w:space="0"/>
              <w:bottom w:val="single" w:color="000000" w:sz="4" w:space="0"/>
              <w:right w:val="single" w:color="000000" w:sz="4" w:space="0"/>
            </w:tcBorders>
            <w:vAlign w:val="center"/>
          </w:tcPr>
          <w:p w14:paraId="2F086CBC">
            <w:pPr>
              <w:widowControl/>
              <w:jc w:val="center"/>
              <w:textAlignment w:val="center"/>
              <w:rPr>
                <w:rFonts w:hint="eastAsia" w:ascii="宋体" w:hAnsi="宋体" w:cs="宋体"/>
                <w:color w:val="000000" w:themeColor="text1"/>
                <w:kern w:val="0"/>
                <w:sz w:val="28"/>
                <w:szCs w:val="28"/>
                <w:lang w:bidi="ar"/>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采购量</w:t>
            </w:r>
          </w:p>
          <w:p w14:paraId="714037B8">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（吨）</w:t>
            </w:r>
          </w:p>
        </w:tc>
        <w:tc>
          <w:tcPr>
            <w:tcW w:w="487" w:type="pct"/>
            <w:vMerge w:val="restart"/>
            <w:tcBorders>
              <w:top w:val="single" w:color="000000" w:sz="4" w:space="0"/>
              <w:left w:val="single" w:color="000000" w:sz="4" w:space="0"/>
              <w:bottom w:val="single" w:color="000000" w:sz="4" w:space="0"/>
              <w:right w:val="single" w:color="000000" w:sz="4" w:space="0"/>
            </w:tcBorders>
            <w:vAlign w:val="center"/>
          </w:tcPr>
          <w:p w14:paraId="47A67C5D">
            <w:pPr>
              <w:widowControl/>
              <w:jc w:val="center"/>
              <w:textAlignment w:val="center"/>
              <w:rPr>
                <w:rFonts w:hint="eastAsia" w:ascii="宋体" w:hAnsi="宋体" w:cs="宋体"/>
                <w:color w:val="000000" w:themeColor="text1"/>
                <w:kern w:val="0"/>
                <w:sz w:val="28"/>
                <w:szCs w:val="28"/>
                <w:lang w:bidi="ar"/>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出矿价</w:t>
            </w:r>
          </w:p>
          <w:p w14:paraId="58FDD2A0">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（元/吨）</w:t>
            </w:r>
          </w:p>
        </w:tc>
        <w:tc>
          <w:tcPr>
            <w:tcW w:w="481" w:type="pct"/>
            <w:vMerge w:val="restart"/>
            <w:tcBorders>
              <w:top w:val="single" w:color="000000" w:sz="4" w:space="0"/>
              <w:left w:val="single" w:color="000000" w:sz="4" w:space="0"/>
              <w:bottom w:val="single" w:color="000000" w:sz="4" w:space="0"/>
              <w:right w:val="single" w:color="000000" w:sz="4" w:space="0"/>
            </w:tcBorders>
            <w:vAlign w:val="center"/>
          </w:tcPr>
          <w:p w14:paraId="1C8631F9">
            <w:pPr>
              <w:widowControl/>
              <w:jc w:val="center"/>
              <w:textAlignment w:val="center"/>
              <w:rPr>
                <w:rFonts w:hint="eastAsia" w:ascii="宋体" w:hAnsi="宋体" w:cs="宋体"/>
                <w:color w:val="000000" w:themeColor="text1"/>
                <w:kern w:val="0"/>
                <w:sz w:val="28"/>
                <w:szCs w:val="28"/>
                <w:lang w:bidi="ar"/>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运费</w:t>
            </w:r>
          </w:p>
          <w:p w14:paraId="6337DBDF">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（元/吨）</w:t>
            </w:r>
          </w:p>
        </w:tc>
        <w:tc>
          <w:tcPr>
            <w:tcW w:w="481" w:type="pct"/>
            <w:vMerge w:val="restart"/>
            <w:tcBorders>
              <w:top w:val="single" w:color="000000" w:sz="4" w:space="0"/>
              <w:left w:val="single" w:color="000000" w:sz="4" w:space="0"/>
              <w:bottom w:val="single" w:color="000000" w:sz="4" w:space="0"/>
              <w:right w:val="single" w:color="000000" w:sz="4" w:space="0"/>
            </w:tcBorders>
            <w:vAlign w:val="center"/>
          </w:tcPr>
          <w:p w14:paraId="70FADF9D">
            <w:pPr>
              <w:widowControl/>
              <w:jc w:val="center"/>
              <w:textAlignment w:val="center"/>
              <w:rPr>
                <w:rFonts w:hint="eastAsia" w:ascii="宋体" w:hAnsi="宋体" w:cs="宋体"/>
                <w:color w:val="000000" w:themeColor="text1"/>
                <w:kern w:val="0"/>
                <w:sz w:val="28"/>
                <w:szCs w:val="28"/>
                <w:lang w:bidi="ar"/>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到厂价</w:t>
            </w:r>
          </w:p>
          <w:p w14:paraId="63616F90">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（元/吨）</w:t>
            </w:r>
          </w:p>
        </w:tc>
        <w:tc>
          <w:tcPr>
            <w:tcW w:w="481" w:type="pct"/>
            <w:vMerge w:val="restart"/>
            <w:tcBorders>
              <w:top w:val="single" w:color="000000" w:sz="4" w:space="0"/>
              <w:left w:val="single" w:color="000000" w:sz="4" w:space="0"/>
              <w:bottom w:val="single" w:color="000000" w:sz="4" w:space="0"/>
              <w:right w:val="single" w:color="000000" w:sz="4" w:space="0"/>
            </w:tcBorders>
            <w:vAlign w:val="center"/>
          </w:tcPr>
          <w:p w14:paraId="2C01C5F3">
            <w:pPr>
              <w:widowControl/>
              <w:jc w:val="center"/>
              <w:textAlignment w:val="center"/>
              <w:rPr>
                <w:rFonts w:hint="eastAsia" w:ascii="宋体" w:hAnsi="宋体" w:cs="宋体"/>
                <w:color w:val="000000" w:themeColor="text1"/>
                <w:kern w:val="0"/>
                <w:sz w:val="28"/>
                <w:szCs w:val="28"/>
                <w:lang w:bidi="ar"/>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计划付款</w:t>
            </w:r>
          </w:p>
          <w:p w14:paraId="5B13BE90">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（万元）</w:t>
            </w:r>
          </w:p>
        </w:tc>
        <w:tc>
          <w:tcPr>
            <w:tcW w:w="321" w:type="pct"/>
            <w:vMerge w:val="restart"/>
            <w:tcBorders>
              <w:top w:val="single" w:color="000000" w:sz="4" w:space="0"/>
              <w:left w:val="single" w:color="000000" w:sz="4" w:space="0"/>
              <w:bottom w:val="single" w:color="000000" w:sz="4" w:space="0"/>
              <w:right w:val="single" w:color="000000" w:sz="4" w:space="0"/>
            </w:tcBorders>
            <w:noWrap/>
            <w:vAlign w:val="center"/>
          </w:tcPr>
          <w:p w14:paraId="1F827880">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备注</w:t>
            </w:r>
          </w:p>
        </w:tc>
      </w:tr>
      <w:tr w14:paraId="0E48CEDE">
        <w:tblPrEx>
          <w:tblCellMar>
            <w:top w:w="0" w:type="dxa"/>
            <w:left w:w="108" w:type="dxa"/>
            <w:bottom w:w="0" w:type="dxa"/>
            <w:right w:w="108" w:type="dxa"/>
          </w:tblCellMar>
        </w:tblPrEx>
        <w:trPr>
          <w:trHeight w:val="375" w:hRule="atLeast"/>
        </w:trPr>
        <w:tc>
          <w:tcPr>
            <w:tcW w:w="502" w:type="pct"/>
            <w:vMerge w:val="continue"/>
            <w:tcBorders>
              <w:top w:val="single" w:color="000000" w:sz="4" w:space="0"/>
              <w:left w:val="single" w:color="000000" w:sz="4" w:space="0"/>
              <w:bottom w:val="single" w:color="000000" w:sz="4" w:space="0"/>
              <w:right w:val="single" w:color="000000" w:sz="4" w:space="0"/>
            </w:tcBorders>
            <w:noWrap/>
            <w:vAlign w:val="center"/>
          </w:tcPr>
          <w:p w14:paraId="4B0F8827">
            <w:pPr>
              <w:jc w:val="cente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2DE72433">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发热量</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7647ED0">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灰分</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561B394">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全水</w:t>
            </w: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032E938">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灰熔点</w:t>
            </w:r>
          </w:p>
        </w:tc>
        <w:tc>
          <w:tcPr>
            <w:tcW w:w="476" w:type="pct"/>
            <w:vMerge w:val="continue"/>
            <w:tcBorders>
              <w:top w:val="single" w:color="000000" w:sz="4" w:space="0"/>
              <w:left w:val="single" w:color="000000" w:sz="4" w:space="0"/>
              <w:bottom w:val="single" w:color="000000" w:sz="4" w:space="0"/>
              <w:right w:val="single" w:color="000000" w:sz="4" w:space="0"/>
            </w:tcBorders>
            <w:vAlign w:val="center"/>
          </w:tcPr>
          <w:p w14:paraId="0C29C284">
            <w:pPr>
              <w:jc w:val="center"/>
              <w:rPr>
                <w:rFonts w:hint="eastAsia" w:ascii="宋体" w:hAnsi="宋体" w:cs="宋体"/>
                <w:color w:val="000000" w:themeColor="text1"/>
                <w:sz w:val="28"/>
                <w:szCs w:val="28"/>
                <w14:textFill>
                  <w14:solidFill>
                    <w14:schemeClr w14:val="tx1"/>
                  </w14:solidFill>
                </w14:textFill>
              </w:rPr>
            </w:pPr>
          </w:p>
        </w:tc>
        <w:tc>
          <w:tcPr>
            <w:tcW w:w="393" w:type="pct"/>
            <w:vMerge w:val="continue"/>
            <w:tcBorders>
              <w:top w:val="single" w:color="000000" w:sz="4" w:space="0"/>
              <w:left w:val="single" w:color="000000" w:sz="4" w:space="0"/>
              <w:bottom w:val="single" w:color="000000" w:sz="4" w:space="0"/>
              <w:right w:val="single" w:color="000000" w:sz="4" w:space="0"/>
            </w:tcBorders>
            <w:vAlign w:val="center"/>
          </w:tcPr>
          <w:p w14:paraId="39180C22">
            <w:pPr>
              <w:jc w:val="center"/>
              <w:rPr>
                <w:rFonts w:hint="eastAsia" w:ascii="宋体" w:hAnsi="宋体" w:cs="宋体"/>
                <w:color w:val="000000" w:themeColor="text1"/>
                <w:sz w:val="28"/>
                <w:szCs w:val="28"/>
                <w14:textFill>
                  <w14:solidFill>
                    <w14:schemeClr w14:val="tx1"/>
                  </w14:solidFill>
                </w14:textFill>
              </w:rPr>
            </w:pPr>
          </w:p>
        </w:tc>
        <w:tc>
          <w:tcPr>
            <w:tcW w:w="487" w:type="pct"/>
            <w:vMerge w:val="continue"/>
            <w:tcBorders>
              <w:top w:val="single" w:color="000000" w:sz="4" w:space="0"/>
              <w:left w:val="single" w:color="000000" w:sz="4" w:space="0"/>
              <w:bottom w:val="single" w:color="000000" w:sz="4" w:space="0"/>
              <w:right w:val="single" w:color="000000" w:sz="4" w:space="0"/>
            </w:tcBorders>
            <w:vAlign w:val="center"/>
          </w:tcPr>
          <w:p w14:paraId="6A964772">
            <w:pPr>
              <w:jc w:val="center"/>
              <w:rPr>
                <w:rFonts w:hint="eastAsia" w:ascii="宋体" w:hAnsi="宋体" w:cs="宋体"/>
                <w:color w:val="000000" w:themeColor="text1"/>
                <w:sz w:val="28"/>
                <w:szCs w:val="28"/>
                <w14:textFill>
                  <w14:solidFill>
                    <w14:schemeClr w14:val="tx1"/>
                  </w14:solidFill>
                </w14:textFill>
              </w:rPr>
            </w:pPr>
          </w:p>
        </w:tc>
        <w:tc>
          <w:tcPr>
            <w:tcW w:w="481" w:type="pct"/>
            <w:vMerge w:val="continue"/>
            <w:tcBorders>
              <w:top w:val="single" w:color="000000" w:sz="4" w:space="0"/>
              <w:left w:val="single" w:color="000000" w:sz="4" w:space="0"/>
              <w:bottom w:val="single" w:color="000000" w:sz="4" w:space="0"/>
              <w:right w:val="single" w:color="000000" w:sz="4" w:space="0"/>
            </w:tcBorders>
            <w:vAlign w:val="center"/>
          </w:tcPr>
          <w:p w14:paraId="223FCB1D">
            <w:pPr>
              <w:jc w:val="center"/>
              <w:rPr>
                <w:rFonts w:hint="eastAsia" w:ascii="宋体" w:hAnsi="宋体" w:cs="宋体"/>
                <w:color w:val="000000" w:themeColor="text1"/>
                <w:sz w:val="28"/>
                <w:szCs w:val="28"/>
                <w14:textFill>
                  <w14:solidFill>
                    <w14:schemeClr w14:val="tx1"/>
                  </w14:solidFill>
                </w14:textFill>
              </w:rPr>
            </w:pPr>
          </w:p>
        </w:tc>
        <w:tc>
          <w:tcPr>
            <w:tcW w:w="481" w:type="pct"/>
            <w:vMerge w:val="continue"/>
            <w:tcBorders>
              <w:top w:val="single" w:color="000000" w:sz="4" w:space="0"/>
              <w:left w:val="single" w:color="000000" w:sz="4" w:space="0"/>
              <w:bottom w:val="single" w:color="000000" w:sz="4" w:space="0"/>
              <w:right w:val="single" w:color="000000" w:sz="4" w:space="0"/>
            </w:tcBorders>
            <w:vAlign w:val="center"/>
          </w:tcPr>
          <w:p w14:paraId="045FE431">
            <w:pPr>
              <w:jc w:val="center"/>
              <w:rPr>
                <w:rFonts w:hint="eastAsia" w:ascii="宋体" w:hAnsi="宋体" w:cs="宋体"/>
                <w:color w:val="000000" w:themeColor="text1"/>
                <w:sz w:val="28"/>
                <w:szCs w:val="28"/>
                <w14:textFill>
                  <w14:solidFill>
                    <w14:schemeClr w14:val="tx1"/>
                  </w14:solidFill>
                </w14:textFill>
              </w:rPr>
            </w:pPr>
          </w:p>
        </w:tc>
        <w:tc>
          <w:tcPr>
            <w:tcW w:w="481" w:type="pct"/>
            <w:vMerge w:val="continue"/>
            <w:tcBorders>
              <w:top w:val="single" w:color="000000" w:sz="4" w:space="0"/>
              <w:left w:val="single" w:color="000000" w:sz="4" w:space="0"/>
              <w:bottom w:val="single" w:color="000000" w:sz="4" w:space="0"/>
              <w:right w:val="single" w:color="000000" w:sz="4" w:space="0"/>
            </w:tcBorders>
            <w:vAlign w:val="center"/>
          </w:tcPr>
          <w:p w14:paraId="6DC1D84E">
            <w:pPr>
              <w:jc w:val="center"/>
              <w:rPr>
                <w:rFonts w:hint="eastAsia" w:ascii="宋体" w:hAnsi="宋体" w:cs="宋体"/>
                <w:color w:val="000000" w:themeColor="text1"/>
                <w:sz w:val="28"/>
                <w:szCs w:val="28"/>
                <w14:textFill>
                  <w14:solidFill>
                    <w14:schemeClr w14:val="tx1"/>
                  </w14:solidFill>
                </w14:textFill>
              </w:rPr>
            </w:pPr>
          </w:p>
        </w:tc>
        <w:tc>
          <w:tcPr>
            <w:tcW w:w="321" w:type="pct"/>
            <w:vMerge w:val="continue"/>
            <w:tcBorders>
              <w:top w:val="single" w:color="000000" w:sz="4" w:space="0"/>
              <w:left w:val="single" w:color="000000" w:sz="4" w:space="0"/>
              <w:bottom w:val="single" w:color="000000" w:sz="4" w:space="0"/>
              <w:right w:val="single" w:color="000000" w:sz="4" w:space="0"/>
            </w:tcBorders>
            <w:noWrap/>
            <w:vAlign w:val="center"/>
          </w:tcPr>
          <w:p w14:paraId="4094247E">
            <w:pPr>
              <w:jc w:val="center"/>
              <w:rPr>
                <w:rFonts w:hint="eastAsia" w:ascii="宋体" w:hAnsi="宋体" w:cs="宋体"/>
                <w:color w:val="000000" w:themeColor="text1"/>
                <w:sz w:val="28"/>
                <w:szCs w:val="28"/>
                <w14:textFill>
                  <w14:solidFill>
                    <w14:schemeClr w14:val="tx1"/>
                  </w14:solidFill>
                </w14:textFill>
              </w:rPr>
            </w:pPr>
          </w:p>
        </w:tc>
      </w:tr>
      <w:tr w14:paraId="48D41487">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1A34CD01">
            <w:pP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76A9553C">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937CFA3">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D258F55">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34F89808">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FED30D1">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9768777">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233782ED">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23A67566">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43F27F7B">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491158B7">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398545D0">
            <w:pPr>
              <w:rPr>
                <w:rFonts w:hint="eastAsia" w:ascii="宋体" w:hAnsi="宋体" w:cs="宋体"/>
                <w:color w:val="000000" w:themeColor="text1"/>
                <w:sz w:val="24"/>
                <w14:textFill>
                  <w14:solidFill>
                    <w14:schemeClr w14:val="tx1"/>
                  </w14:solidFill>
                </w14:textFill>
              </w:rPr>
            </w:pPr>
          </w:p>
        </w:tc>
      </w:tr>
      <w:tr w14:paraId="1BB92AB1">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0B246254">
            <w:pP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0DDCD77B">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C434E8A">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D29018F">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592DCDD9">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D3EE442">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00C79D6F">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04EF5C8E">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6DBE7406">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3E75F79C">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4EA8E5C6">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4083CF6C">
            <w:pPr>
              <w:rPr>
                <w:rFonts w:hint="eastAsia" w:ascii="宋体" w:hAnsi="宋体" w:cs="宋体"/>
                <w:color w:val="000000" w:themeColor="text1"/>
                <w:sz w:val="28"/>
                <w:szCs w:val="28"/>
                <w14:textFill>
                  <w14:solidFill>
                    <w14:schemeClr w14:val="tx1"/>
                  </w14:solidFill>
                </w14:textFill>
              </w:rPr>
            </w:pPr>
          </w:p>
        </w:tc>
      </w:tr>
      <w:tr w14:paraId="7BAB6FCB">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29A79494">
            <w:pP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1CFBC829">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23A90EF">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BD6D19B">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B33E44E">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0CA4945">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B69BA1A">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02154FB7">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069FD1E9">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3C44947D">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2E015CC3">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05507BD6">
            <w:pPr>
              <w:rPr>
                <w:rFonts w:hint="eastAsia" w:ascii="宋体" w:hAnsi="宋体" w:cs="宋体"/>
                <w:color w:val="000000" w:themeColor="text1"/>
                <w:sz w:val="28"/>
                <w:szCs w:val="28"/>
                <w14:textFill>
                  <w14:solidFill>
                    <w14:schemeClr w14:val="tx1"/>
                  </w14:solidFill>
                </w14:textFill>
              </w:rPr>
            </w:pPr>
          </w:p>
        </w:tc>
      </w:tr>
      <w:tr w14:paraId="2BEBE984">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7AECC1A4">
            <w:pP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67CDBD5E">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AE6A4AD">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D485F68">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3C80FB76">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3B3BC02C">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7E483DCF">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347828A2">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00BBA134">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3923ECE8">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32444FC8">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01B58640">
            <w:pPr>
              <w:rPr>
                <w:rFonts w:hint="eastAsia" w:ascii="宋体" w:hAnsi="宋体" w:cs="宋体"/>
                <w:color w:val="000000" w:themeColor="text1"/>
                <w:sz w:val="28"/>
                <w:szCs w:val="28"/>
                <w14:textFill>
                  <w14:solidFill>
                    <w14:schemeClr w14:val="tx1"/>
                  </w14:solidFill>
                </w14:textFill>
              </w:rPr>
            </w:pPr>
          </w:p>
        </w:tc>
      </w:tr>
      <w:tr w14:paraId="6991B1DE">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146A4380">
            <w:pP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4BAC481C">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B57465F">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E336914">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552F172">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7A055955">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3A41178D">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6E3157DC">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76047261">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23A4DCF7">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06BDAE99">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35DFE645">
            <w:pPr>
              <w:rPr>
                <w:rFonts w:hint="eastAsia" w:ascii="宋体" w:hAnsi="宋体" w:cs="宋体"/>
                <w:color w:val="000000" w:themeColor="text1"/>
                <w:sz w:val="28"/>
                <w:szCs w:val="28"/>
                <w14:textFill>
                  <w14:solidFill>
                    <w14:schemeClr w14:val="tx1"/>
                  </w14:solidFill>
                </w14:textFill>
              </w:rPr>
            </w:pPr>
          </w:p>
        </w:tc>
      </w:tr>
      <w:tr w14:paraId="65B2B5ED">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15617275">
            <w:pPr>
              <w:rPr>
                <w:rFonts w:hint="eastAsia" w:ascii="宋体" w:hAnsi="宋体" w:cs="宋体"/>
                <w:color w:val="000000" w:themeColor="text1"/>
                <w:sz w:val="28"/>
                <w:szCs w:val="28"/>
                <w14:textFill>
                  <w14:solidFill>
                    <w14:schemeClr w14:val="tx1"/>
                  </w14:solidFill>
                </w14:textFill>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5670C00E">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E84B2DA">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3CE1FE7">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15AA9811">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4C989207">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1426E5D2">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334B6382">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6E35513C">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0E7A50ED">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057F5DC2">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023C7DCC">
            <w:pPr>
              <w:rPr>
                <w:rFonts w:hint="eastAsia" w:ascii="宋体" w:hAnsi="宋体" w:cs="宋体"/>
                <w:color w:val="000000" w:themeColor="text1"/>
                <w:sz w:val="28"/>
                <w:szCs w:val="28"/>
                <w14:textFill>
                  <w14:solidFill>
                    <w14:schemeClr w14:val="tx1"/>
                  </w14:solidFill>
                </w14:textFill>
              </w:rPr>
            </w:pPr>
          </w:p>
        </w:tc>
      </w:tr>
      <w:tr w14:paraId="23E2C78E">
        <w:tblPrEx>
          <w:tblCellMar>
            <w:top w:w="0" w:type="dxa"/>
            <w:left w:w="108" w:type="dxa"/>
            <w:bottom w:w="0" w:type="dxa"/>
            <w:right w:w="108" w:type="dxa"/>
          </w:tblCellMar>
        </w:tblPrEx>
        <w:trPr>
          <w:trHeight w:val="375" w:hRule="atLeast"/>
        </w:trPr>
        <w:tc>
          <w:tcPr>
            <w:tcW w:w="502" w:type="pct"/>
            <w:tcBorders>
              <w:top w:val="single" w:color="000000" w:sz="4" w:space="0"/>
              <w:left w:val="single" w:color="000000" w:sz="4" w:space="0"/>
              <w:bottom w:val="single" w:color="000000" w:sz="4" w:space="0"/>
              <w:right w:val="single" w:color="000000" w:sz="4" w:space="0"/>
            </w:tcBorders>
            <w:noWrap/>
            <w:vAlign w:val="center"/>
          </w:tcPr>
          <w:p w14:paraId="13FA357F">
            <w:pPr>
              <w:widowControl/>
              <w:jc w:val="center"/>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合 计</w:t>
            </w: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00E2FEF0">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F5B00B3">
            <w:pPr>
              <w:rPr>
                <w:rFonts w:hint="eastAsia" w:ascii="宋体" w:hAnsi="宋体" w:cs="宋体"/>
                <w:color w:val="000000" w:themeColor="text1"/>
                <w:sz w:val="28"/>
                <w:szCs w:val="28"/>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1369FC2">
            <w:pPr>
              <w:rPr>
                <w:rFonts w:hint="eastAsia" w:ascii="宋体" w:hAnsi="宋体" w:cs="宋体"/>
                <w:color w:val="000000" w:themeColor="text1"/>
                <w:sz w:val="28"/>
                <w:szCs w:val="28"/>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noWrap/>
            <w:vAlign w:val="center"/>
          </w:tcPr>
          <w:p w14:paraId="279B9475">
            <w:pPr>
              <w:rPr>
                <w:rFonts w:hint="eastAsia" w:ascii="宋体" w:hAnsi="宋体" w:cs="宋体"/>
                <w:color w:val="000000" w:themeColor="text1"/>
                <w:sz w:val="28"/>
                <w:szCs w:val="28"/>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noWrap/>
            <w:vAlign w:val="center"/>
          </w:tcPr>
          <w:p w14:paraId="169B0677">
            <w:pPr>
              <w:rPr>
                <w:rFonts w:hint="eastAsia" w:ascii="宋体" w:hAnsi="宋体" w:cs="宋体"/>
                <w:color w:val="000000" w:themeColor="text1"/>
                <w:sz w:val="28"/>
                <w:szCs w:val="28"/>
                <w14:textFill>
                  <w14:solidFill>
                    <w14:schemeClr w14:val="tx1"/>
                  </w14:solidFill>
                </w14:textFill>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14:paraId="5453C22B">
            <w:pPr>
              <w:rPr>
                <w:rFonts w:hint="eastAsia" w:ascii="宋体" w:hAnsi="宋体" w:cs="宋体"/>
                <w:color w:val="000000" w:themeColor="text1"/>
                <w:sz w:val="28"/>
                <w:szCs w:val="28"/>
                <w14:textFill>
                  <w14:solidFill>
                    <w14:schemeClr w14:val="tx1"/>
                  </w14:solidFill>
                </w14:textFill>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2C4CDBA4">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1B92EB43">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6E582428">
            <w:pPr>
              <w:rPr>
                <w:rFonts w:hint="eastAsia" w:ascii="宋体" w:hAnsi="宋体" w:cs="宋体"/>
                <w:color w:val="000000" w:themeColor="text1"/>
                <w:sz w:val="28"/>
                <w:szCs w:val="28"/>
                <w14:textFill>
                  <w14:solidFill>
                    <w14:schemeClr w14:val="tx1"/>
                  </w14:solidFill>
                </w14:textFill>
              </w:rPr>
            </w:pPr>
          </w:p>
        </w:tc>
        <w:tc>
          <w:tcPr>
            <w:tcW w:w="481" w:type="pct"/>
            <w:tcBorders>
              <w:top w:val="single" w:color="000000" w:sz="4" w:space="0"/>
              <w:left w:val="single" w:color="000000" w:sz="4" w:space="0"/>
              <w:bottom w:val="single" w:color="000000" w:sz="4" w:space="0"/>
              <w:right w:val="single" w:color="000000" w:sz="4" w:space="0"/>
            </w:tcBorders>
            <w:noWrap/>
            <w:vAlign w:val="center"/>
          </w:tcPr>
          <w:p w14:paraId="467002EC">
            <w:pPr>
              <w:rPr>
                <w:rFonts w:hint="eastAsia" w:ascii="宋体" w:hAnsi="宋体" w:cs="宋体"/>
                <w:color w:val="000000" w:themeColor="text1"/>
                <w:sz w:val="28"/>
                <w:szCs w:val="28"/>
                <w14:textFill>
                  <w14:solidFill>
                    <w14:schemeClr w14:val="tx1"/>
                  </w14:solidFill>
                </w14:textFill>
              </w:rPr>
            </w:pPr>
          </w:p>
        </w:tc>
        <w:tc>
          <w:tcPr>
            <w:tcW w:w="321" w:type="pct"/>
            <w:tcBorders>
              <w:top w:val="single" w:color="000000" w:sz="4" w:space="0"/>
              <w:left w:val="single" w:color="000000" w:sz="4" w:space="0"/>
              <w:bottom w:val="single" w:color="000000" w:sz="4" w:space="0"/>
              <w:right w:val="single" w:color="000000" w:sz="4" w:space="0"/>
            </w:tcBorders>
            <w:noWrap/>
            <w:vAlign w:val="center"/>
          </w:tcPr>
          <w:p w14:paraId="522D0341">
            <w:pPr>
              <w:rPr>
                <w:rFonts w:hint="eastAsia" w:ascii="宋体" w:hAnsi="宋体" w:cs="宋体"/>
                <w:color w:val="000000" w:themeColor="text1"/>
                <w:sz w:val="28"/>
                <w:szCs w:val="28"/>
                <w14:textFill>
                  <w14:solidFill>
                    <w14:schemeClr w14:val="tx1"/>
                  </w14:solidFill>
                </w14:textFill>
              </w:rPr>
            </w:pPr>
          </w:p>
        </w:tc>
      </w:tr>
      <w:tr w14:paraId="3D6277D3">
        <w:tblPrEx>
          <w:tblCellMar>
            <w:top w:w="0" w:type="dxa"/>
            <w:left w:w="108" w:type="dxa"/>
            <w:bottom w:w="0" w:type="dxa"/>
            <w:right w:w="108" w:type="dxa"/>
          </w:tblCellMar>
        </w:tblPrEx>
        <w:trPr>
          <w:trHeight w:val="270" w:hRule="atLeast"/>
        </w:trPr>
        <w:tc>
          <w:tcPr>
            <w:tcW w:w="502" w:type="pct"/>
            <w:tcBorders>
              <w:top w:val="nil"/>
              <w:left w:val="nil"/>
              <w:bottom w:val="nil"/>
              <w:right w:val="nil"/>
            </w:tcBorders>
            <w:noWrap/>
            <w:vAlign w:val="center"/>
          </w:tcPr>
          <w:p w14:paraId="4E0E5E7D">
            <w:pPr>
              <w:rPr>
                <w:rFonts w:hint="eastAsia" w:ascii="宋体" w:hAnsi="宋体" w:cs="宋体"/>
                <w:color w:val="000000" w:themeColor="text1"/>
                <w:sz w:val="22"/>
                <w:szCs w:val="22"/>
                <w14:textFill>
                  <w14:solidFill>
                    <w14:schemeClr w14:val="tx1"/>
                  </w14:solidFill>
                </w14:textFill>
              </w:rPr>
            </w:pPr>
          </w:p>
        </w:tc>
        <w:tc>
          <w:tcPr>
            <w:tcW w:w="373" w:type="pct"/>
            <w:tcBorders>
              <w:top w:val="nil"/>
              <w:left w:val="nil"/>
              <w:bottom w:val="nil"/>
              <w:right w:val="nil"/>
            </w:tcBorders>
            <w:noWrap/>
            <w:vAlign w:val="center"/>
          </w:tcPr>
          <w:p w14:paraId="184BBB54">
            <w:pPr>
              <w:rPr>
                <w:rFonts w:hint="eastAsia" w:ascii="宋体" w:hAnsi="宋体" w:cs="宋体"/>
                <w:color w:val="000000" w:themeColor="text1"/>
                <w:sz w:val="22"/>
                <w:szCs w:val="22"/>
                <w14:textFill>
                  <w14:solidFill>
                    <w14:schemeClr w14:val="tx1"/>
                  </w14:solidFill>
                </w14:textFill>
              </w:rPr>
            </w:pPr>
          </w:p>
        </w:tc>
        <w:tc>
          <w:tcPr>
            <w:tcW w:w="290" w:type="pct"/>
            <w:tcBorders>
              <w:top w:val="nil"/>
              <w:left w:val="nil"/>
              <w:bottom w:val="nil"/>
              <w:right w:val="nil"/>
            </w:tcBorders>
            <w:noWrap/>
            <w:vAlign w:val="center"/>
          </w:tcPr>
          <w:p w14:paraId="2C5E37CB">
            <w:pPr>
              <w:rPr>
                <w:rFonts w:hint="eastAsia" w:ascii="宋体" w:hAnsi="宋体" w:cs="宋体"/>
                <w:color w:val="000000" w:themeColor="text1"/>
                <w:sz w:val="22"/>
                <w:szCs w:val="22"/>
                <w14:textFill>
                  <w14:solidFill>
                    <w14:schemeClr w14:val="tx1"/>
                  </w14:solidFill>
                </w14:textFill>
              </w:rPr>
            </w:pPr>
          </w:p>
        </w:tc>
        <w:tc>
          <w:tcPr>
            <w:tcW w:w="290" w:type="pct"/>
            <w:tcBorders>
              <w:top w:val="nil"/>
              <w:left w:val="nil"/>
              <w:bottom w:val="nil"/>
              <w:right w:val="nil"/>
            </w:tcBorders>
            <w:noWrap/>
            <w:vAlign w:val="center"/>
          </w:tcPr>
          <w:p w14:paraId="358F3C04">
            <w:pPr>
              <w:rPr>
                <w:rFonts w:hint="eastAsia" w:ascii="宋体" w:hAnsi="宋体" w:cs="宋体"/>
                <w:color w:val="000000" w:themeColor="text1"/>
                <w:sz w:val="22"/>
                <w:szCs w:val="22"/>
                <w14:textFill>
                  <w14:solidFill>
                    <w14:schemeClr w14:val="tx1"/>
                  </w14:solidFill>
                </w14:textFill>
              </w:rPr>
            </w:pPr>
          </w:p>
        </w:tc>
        <w:tc>
          <w:tcPr>
            <w:tcW w:w="419" w:type="pct"/>
            <w:tcBorders>
              <w:top w:val="nil"/>
              <w:left w:val="nil"/>
              <w:bottom w:val="nil"/>
              <w:right w:val="nil"/>
            </w:tcBorders>
            <w:noWrap/>
            <w:vAlign w:val="center"/>
          </w:tcPr>
          <w:p w14:paraId="52FE340D">
            <w:pPr>
              <w:rPr>
                <w:rFonts w:hint="eastAsia" w:ascii="宋体" w:hAnsi="宋体" w:cs="宋体"/>
                <w:color w:val="000000" w:themeColor="text1"/>
                <w:sz w:val="22"/>
                <w:szCs w:val="22"/>
                <w14:textFill>
                  <w14:solidFill>
                    <w14:schemeClr w14:val="tx1"/>
                  </w14:solidFill>
                </w14:textFill>
              </w:rPr>
            </w:pPr>
          </w:p>
        </w:tc>
        <w:tc>
          <w:tcPr>
            <w:tcW w:w="476" w:type="pct"/>
            <w:tcBorders>
              <w:top w:val="nil"/>
              <w:left w:val="nil"/>
              <w:bottom w:val="nil"/>
              <w:right w:val="nil"/>
            </w:tcBorders>
            <w:noWrap/>
            <w:vAlign w:val="center"/>
          </w:tcPr>
          <w:p w14:paraId="7D1FC550">
            <w:pPr>
              <w:rPr>
                <w:rFonts w:hint="eastAsia" w:ascii="宋体" w:hAnsi="宋体" w:cs="宋体"/>
                <w:color w:val="000000" w:themeColor="text1"/>
                <w:sz w:val="22"/>
                <w:szCs w:val="22"/>
                <w14:textFill>
                  <w14:solidFill>
                    <w14:schemeClr w14:val="tx1"/>
                  </w14:solidFill>
                </w14:textFill>
              </w:rPr>
            </w:pPr>
          </w:p>
        </w:tc>
        <w:tc>
          <w:tcPr>
            <w:tcW w:w="393" w:type="pct"/>
            <w:tcBorders>
              <w:top w:val="nil"/>
              <w:left w:val="nil"/>
              <w:bottom w:val="nil"/>
              <w:right w:val="nil"/>
            </w:tcBorders>
            <w:noWrap/>
            <w:vAlign w:val="center"/>
          </w:tcPr>
          <w:p w14:paraId="46E19229">
            <w:pPr>
              <w:rPr>
                <w:rFonts w:hint="eastAsia" w:ascii="宋体" w:hAnsi="宋体" w:cs="宋体"/>
                <w:color w:val="000000" w:themeColor="text1"/>
                <w:sz w:val="22"/>
                <w:szCs w:val="22"/>
                <w14:textFill>
                  <w14:solidFill>
                    <w14:schemeClr w14:val="tx1"/>
                  </w14:solidFill>
                </w14:textFill>
              </w:rPr>
            </w:pPr>
          </w:p>
        </w:tc>
        <w:tc>
          <w:tcPr>
            <w:tcW w:w="487" w:type="pct"/>
            <w:tcBorders>
              <w:top w:val="nil"/>
              <w:left w:val="nil"/>
              <w:bottom w:val="nil"/>
              <w:right w:val="nil"/>
            </w:tcBorders>
            <w:noWrap/>
            <w:vAlign w:val="center"/>
          </w:tcPr>
          <w:p w14:paraId="56B111B9">
            <w:pPr>
              <w:rPr>
                <w:rFonts w:hint="eastAsia" w:ascii="宋体" w:hAnsi="宋体" w:cs="宋体"/>
                <w:color w:val="000000" w:themeColor="text1"/>
                <w:sz w:val="22"/>
                <w:szCs w:val="22"/>
                <w14:textFill>
                  <w14:solidFill>
                    <w14:schemeClr w14:val="tx1"/>
                  </w14:solidFill>
                </w14:textFill>
              </w:rPr>
            </w:pPr>
          </w:p>
        </w:tc>
        <w:tc>
          <w:tcPr>
            <w:tcW w:w="481" w:type="pct"/>
            <w:tcBorders>
              <w:top w:val="nil"/>
              <w:left w:val="nil"/>
              <w:bottom w:val="nil"/>
              <w:right w:val="nil"/>
            </w:tcBorders>
            <w:noWrap/>
            <w:vAlign w:val="center"/>
          </w:tcPr>
          <w:p w14:paraId="6201D673">
            <w:pPr>
              <w:rPr>
                <w:rFonts w:hint="eastAsia" w:ascii="宋体" w:hAnsi="宋体" w:cs="宋体"/>
                <w:color w:val="000000" w:themeColor="text1"/>
                <w:sz w:val="22"/>
                <w:szCs w:val="22"/>
                <w14:textFill>
                  <w14:solidFill>
                    <w14:schemeClr w14:val="tx1"/>
                  </w14:solidFill>
                </w14:textFill>
              </w:rPr>
            </w:pPr>
          </w:p>
        </w:tc>
        <w:tc>
          <w:tcPr>
            <w:tcW w:w="481" w:type="pct"/>
            <w:tcBorders>
              <w:top w:val="nil"/>
              <w:left w:val="nil"/>
              <w:bottom w:val="nil"/>
              <w:right w:val="nil"/>
            </w:tcBorders>
            <w:noWrap/>
            <w:vAlign w:val="center"/>
          </w:tcPr>
          <w:p w14:paraId="7B8CD75C">
            <w:pPr>
              <w:rPr>
                <w:rFonts w:hint="eastAsia" w:ascii="宋体" w:hAnsi="宋体" w:cs="宋体"/>
                <w:color w:val="000000" w:themeColor="text1"/>
                <w:sz w:val="22"/>
                <w:szCs w:val="22"/>
                <w14:textFill>
                  <w14:solidFill>
                    <w14:schemeClr w14:val="tx1"/>
                  </w14:solidFill>
                </w14:textFill>
              </w:rPr>
            </w:pPr>
          </w:p>
        </w:tc>
        <w:tc>
          <w:tcPr>
            <w:tcW w:w="481" w:type="pct"/>
            <w:tcBorders>
              <w:top w:val="nil"/>
              <w:left w:val="nil"/>
              <w:bottom w:val="nil"/>
              <w:right w:val="nil"/>
            </w:tcBorders>
            <w:noWrap/>
            <w:vAlign w:val="center"/>
          </w:tcPr>
          <w:p w14:paraId="652EDF9A">
            <w:pPr>
              <w:rPr>
                <w:rFonts w:hint="eastAsia" w:ascii="宋体" w:hAnsi="宋体" w:cs="宋体"/>
                <w:color w:val="000000" w:themeColor="text1"/>
                <w:sz w:val="22"/>
                <w:szCs w:val="22"/>
                <w14:textFill>
                  <w14:solidFill>
                    <w14:schemeClr w14:val="tx1"/>
                  </w14:solidFill>
                </w14:textFill>
              </w:rPr>
            </w:pPr>
          </w:p>
        </w:tc>
        <w:tc>
          <w:tcPr>
            <w:tcW w:w="321" w:type="pct"/>
            <w:tcBorders>
              <w:top w:val="nil"/>
              <w:left w:val="nil"/>
              <w:bottom w:val="nil"/>
              <w:right w:val="nil"/>
            </w:tcBorders>
            <w:noWrap/>
            <w:vAlign w:val="center"/>
          </w:tcPr>
          <w:p w14:paraId="52450876">
            <w:pPr>
              <w:rPr>
                <w:rFonts w:hint="eastAsia" w:ascii="宋体" w:hAnsi="宋体" w:cs="宋体"/>
                <w:color w:val="000000" w:themeColor="text1"/>
                <w:sz w:val="22"/>
                <w:szCs w:val="22"/>
                <w14:textFill>
                  <w14:solidFill>
                    <w14:schemeClr w14:val="tx1"/>
                  </w14:solidFill>
                </w14:textFill>
              </w:rPr>
            </w:pPr>
          </w:p>
        </w:tc>
      </w:tr>
      <w:tr w14:paraId="558B1B66">
        <w:tblPrEx>
          <w:tblCellMar>
            <w:top w:w="0" w:type="dxa"/>
            <w:left w:w="108" w:type="dxa"/>
            <w:bottom w:w="0" w:type="dxa"/>
            <w:right w:w="108" w:type="dxa"/>
          </w:tblCellMar>
        </w:tblPrEx>
        <w:trPr>
          <w:trHeight w:val="375" w:hRule="atLeast"/>
        </w:trPr>
        <w:tc>
          <w:tcPr>
            <w:tcW w:w="502" w:type="pct"/>
            <w:tcBorders>
              <w:top w:val="nil"/>
              <w:left w:val="nil"/>
              <w:bottom w:val="nil"/>
              <w:right w:val="nil"/>
            </w:tcBorders>
            <w:noWrap/>
            <w:vAlign w:val="center"/>
          </w:tcPr>
          <w:p w14:paraId="059BB525">
            <w:pPr>
              <w:widowControl/>
              <w:jc w:val="left"/>
              <w:textAlignment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总经理：</w:t>
            </w:r>
          </w:p>
        </w:tc>
        <w:tc>
          <w:tcPr>
            <w:tcW w:w="373" w:type="pct"/>
            <w:tcBorders>
              <w:top w:val="nil"/>
              <w:left w:val="nil"/>
              <w:bottom w:val="nil"/>
              <w:right w:val="nil"/>
            </w:tcBorders>
            <w:noWrap/>
            <w:vAlign w:val="center"/>
          </w:tcPr>
          <w:p w14:paraId="4180F79A">
            <w:pPr>
              <w:rPr>
                <w:rFonts w:hint="eastAsia" w:ascii="宋体" w:hAnsi="宋体" w:cs="宋体"/>
                <w:color w:val="000000" w:themeColor="text1"/>
                <w:sz w:val="28"/>
                <w:szCs w:val="28"/>
                <w14:textFill>
                  <w14:solidFill>
                    <w14:schemeClr w14:val="tx1"/>
                  </w14:solidFill>
                </w14:textFill>
              </w:rPr>
            </w:pPr>
          </w:p>
        </w:tc>
        <w:tc>
          <w:tcPr>
            <w:tcW w:w="290" w:type="pct"/>
            <w:tcBorders>
              <w:top w:val="nil"/>
              <w:left w:val="nil"/>
              <w:bottom w:val="nil"/>
              <w:right w:val="nil"/>
            </w:tcBorders>
            <w:noWrap/>
            <w:vAlign w:val="center"/>
          </w:tcPr>
          <w:p w14:paraId="0BA79A67">
            <w:pPr>
              <w:rPr>
                <w:rFonts w:hint="eastAsia" w:ascii="宋体" w:hAnsi="宋体" w:cs="宋体"/>
                <w:color w:val="000000" w:themeColor="text1"/>
                <w:sz w:val="28"/>
                <w:szCs w:val="28"/>
                <w14:textFill>
                  <w14:solidFill>
                    <w14:schemeClr w14:val="tx1"/>
                  </w14:solidFill>
                </w14:textFill>
              </w:rPr>
            </w:pPr>
          </w:p>
        </w:tc>
        <w:tc>
          <w:tcPr>
            <w:tcW w:w="709" w:type="pct"/>
            <w:gridSpan w:val="2"/>
            <w:tcBorders>
              <w:top w:val="nil"/>
              <w:left w:val="nil"/>
              <w:bottom w:val="nil"/>
              <w:right w:val="nil"/>
            </w:tcBorders>
            <w:noWrap/>
            <w:vAlign w:val="center"/>
          </w:tcPr>
          <w:p w14:paraId="37DB1186">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分管领导：</w:t>
            </w:r>
          </w:p>
        </w:tc>
        <w:tc>
          <w:tcPr>
            <w:tcW w:w="476" w:type="pct"/>
            <w:tcBorders>
              <w:top w:val="nil"/>
              <w:left w:val="nil"/>
              <w:bottom w:val="nil"/>
              <w:right w:val="nil"/>
            </w:tcBorders>
            <w:noWrap/>
            <w:vAlign w:val="center"/>
          </w:tcPr>
          <w:p w14:paraId="6A3C0CAE">
            <w:pPr>
              <w:rPr>
                <w:rFonts w:hint="eastAsia" w:ascii="宋体" w:hAnsi="宋体" w:cs="宋体"/>
                <w:color w:val="000000" w:themeColor="text1"/>
                <w:sz w:val="28"/>
                <w:szCs w:val="28"/>
                <w14:textFill>
                  <w14:solidFill>
                    <w14:schemeClr w14:val="tx1"/>
                  </w14:solidFill>
                </w14:textFill>
              </w:rPr>
            </w:pPr>
          </w:p>
        </w:tc>
        <w:tc>
          <w:tcPr>
            <w:tcW w:w="393" w:type="pct"/>
            <w:tcBorders>
              <w:top w:val="nil"/>
              <w:left w:val="nil"/>
              <w:bottom w:val="nil"/>
              <w:right w:val="nil"/>
            </w:tcBorders>
            <w:noWrap/>
            <w:vAlign w:val="center"/>
          </w:tcPr>
          <w:p w14:paraId="1CBF6899">
            <w:pPr>
              <w:rPr>
                <w:rFonts w:hint="eastAsia" w:ascii="宋体" w:hAnsi="宋体" w:cs="宋体"/>
                <w:color w:val="000000" w:themeColor="text1"/>
                <w:sz w:val="28"/>
                <w:szCs w:val="28"/>
                <w14:textFill>
                  <w14:solidFill>
                    <w14:schemeClr w14:val="tx1"/>
                  </w14:solidFill>
                </w14:textFill>
              </w:rPr>
            </w:pPr>
          </w:p>
        </w:tc>
        <w:tc>
          <w:tcPr>
            <w:tcW w:w="968" w:type="pct"/>
            <w:gridSpan w:val="2"/>
            <w:tcBorders>
              <w:top w:val="nil"/>
              <w:left w:val="nil"/>
              <w:bottom w:val="nil"/>
              <w:right w:val="nil"/>
            </w:tcBorders>
            <w:noWrap/>
            <w:vAlign w:val="center"/>
          </w:tcPr>
          <w:p w14:paraId="761C72F2">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部门负责人：</w:t>
            </w:r>
          </w:p>
        </w:tc>
        <w:tc>
          <w:tcPr>
            <w:tcW w:w="481" w:type="pct"/>
            <w:tcBorders>
              <w:top w:val="nil"/>
              <w:left w:val="nil"/>
              <w:bottom w:val="nil"/>
              <w:right w:val="nil"/>
            </w:tcBorders>
            <w:noWrap/>
            <w:vAlign w:val="center"/>
          </w:tcPr>
          <w:p w14:paraId="3C72A50D">
            <w:pPr>
              <w:rPr>
                <w:rFonts w:hint="eastAsia" w:ascii="宋体" w:hAnsi="宋体" w:cs="宋体"/>
                <w:color w:val="000000" w:themeColor="text1"/>
                <w:sz w:val="28"/>
                <w:szCs w:val="28"/>
                <w14:textFill>
                  <w14:solidFill>
                    <w14:schemeClr w14:val="tx1"/>
                  </w14:solidFill>
                </w14:textFill>
              </w:rPr>
            </w:pPr>
          </w:p>
        </w:tc>
        <w:tc>
          <w:tcPr>
            <w:tcW w:w="803" w:type="pct"/>
            <w:gridSpan w:val="2"/>
            <w:tcBorders>
              <w:top w:val="nil"/>
              <w:left w:val="nil"/>
              <w:bottom w:val="nil"/>
              <w:right w:val="nil"/>
            </w:tcBorders>
            <w:noWrap/>
            <w:vAlign w:val="center"/>
          </w:tcPr>
          <w:p w14:paraId="1532B65F">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bidi="ar"/>
                <w14:textFill>
                  <w14:solidFill>
                    <w14:schemeClr w14:val="tx1"/>
                  </w14:solidFill>
                </w14:textFill>
              </w:rPr>
              <w:t>制表：</w:t>
            </w:r>
          </w:p>
        </w:tc>
      </w:tr>
    </w:tbl>
    <w:p w14:paraId="54A6FD6F">
      <w:pPr>
        <w:spacing w:line="520" w:lineRule="exact"/>
        <w:ind w:firstLine="640" w:firstLineChars="200"/>
        <w:rPr>
          <w:rFonts w:hint="eastAsia" w:ascii="仿宋_GB2312" w:hAnsi="宋体" w:eastAsia="仿宋_GB2312" w:cs="仿宋_GB2312"/>
          <w:bCs/>
          <w:sz w:val="32"/>
          <w:szCs w:val="32"/>
        </w:rPr>
      </w:pPr>
    </w:p>
    <w:p w14:paraId="25555BF3">
      <w:pPr>
        <w:spacing w:line="520" w:lineRule="exact"/>
        <w:ind w:right="-197" w:rightChars="-94" w:firstLine="640" w:firstLineChars="200"/>
        <w:rPr>
          <w:rFonts w:ascii="仿宋_GB2312" w:eastAsia="仿宋_GB2312"/>
          <w:sz w:val="32"/>
          <w:szCs w:val="32"/>
        </w:rPr>
        <w:sectPr>
          <w:footerReference r:id="rId4" w:type="default"/>
          <w:pgSz w:w="16838" w:h="11906" w:orient="landscape"/>
          <w:pgMar w:top="1701" w:right="1440" w:bottom="1701" w:left="1440" w:header="851" w:footer="992" w:gutter="0"/>
          <w:cols w:space="0" w:num="1"/>
          <w:docGrid w:type="lines" w:linePitch="312" w:charSpace="0"/>
        </w:sectPr>
      </w:pPr>
    </w:p>
    <w:p w14:paraId="636DE749">
      <w:pPr>
        <w:spacing w:line="520" w:lineRule="exact"/>
        <w:ind w:right="-197" w:rightChars="-94"/>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附件11</w:t>
      </w:r>
    </w:p>
    <w:p w14:paraId="02121C4E">
      <w:pPr>
        <w:spacing w:line="520" w:lineRule="exact"/>
        <w:ind w:right="-197" w:rightChars="-94"/>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Cs/>
          <w:sz w:val="44"/>
          <w:szCs w:val="44"/>
        </w:rPr>
        <w:t>2026年物资供应管理办法</w:t>
      </w:r>
    </w:p>
    <w:p w14:paraId="0BD47C7C">
      <w:pPr>
        <w:spacing w:line="520" w:lineRule="exact"/>
        <w:jc w:val="center"/>
        <w:rPr>
          <w:rFonts w:hint="eastAsia" w:ascii="黑体" w:hAnsi="黑体" w:eastAsia="黑体" w:cs="黑体"/>
          <w:b/>
          <w:bCs/>
          <w:sz w:val="32"/>
          <w:szCs w:val="32"/>
        </w:rPr>
      </w:pPr>
      <w:r>
        <w:rPr>
          <w:rFonts w:hint="eastAsia" w:ascii="黑体" w:hAnsi="黑体" w:eastAsia="黑体" w:cs="黑体"/>
          <w:b/>
          <w:bCs/>
          <w:sz w:val="32"/>
          <w:szCs w:val="32"/>
        </w:rPr>
        <w:t xml:space="preserve">                                      </w:t>
      </w:r>
    </w:p>
    <w:p w14:paraId="71B8519A">
      <w:pPr>
        <w:keepNext w:val="0"/>
        <w:keepLines w:val="0"/>
        <w:pageBreakBefore w:val="0"/>
        <w:wordWrap/>
        <w:overflowPunct/>
        <w:topLinePunct w:val="0"/>
        <w:bidi w:val="0"/>
        <w:spacing w:line="520" w:lineRule="exact"/>
        <w:jc w:val="center"/>
        <w:rPr>
          <w:rFonts w:hint="eastAsia" w:ascii="黑体" w:hAnsi="黑体" w:eastAsia="黑体" w:cs="Arial"/>
          <w:kern w:val="0"/>
          <w:sz w:val="32"/>
          <w:szCs w:val="32"/>
        </w:rPr>
      </w:pPr>
      <w:r>
        <w:rPr>
          <w:rFonts w:hint="eastAsia" w:ascii="黑体" w:hAnsi="黑体" w:eastAsia="黑体" w:cs="Arial"/>
          <w:kern w:val="0"/>
          <w:sz w:val="32"/>
          <w:szCs w:val="32"/>
        </w:rPr>
        <w:t>第一章</w:t>
      </w:r>
      <w:r>
        <w:rPr>
          <w:rFonts w:hint="eastAsia" w:ascii="黑体" w:hAnsi="黑体" w:eastAsia="黑体" w:cs="Arial"/>
          <w:kern w:val="0"/>
          <w:sz w:val="32"/>
          <w:szCs w:val="32"/>
          <w:lang w:val="en-US" w:eastAsia="zh-CN"/>
        </w:rPr>
        <w:t xml:space="preserve"> </w:t>
      </w:r>
      <w:r>
        <w:rPr>
          <w:rFonts w:hint="eastAsia" w:ascii="黑体" w:hAnsi="黑体" w:eastAsia="黑体" w:cs="Arial"/>
          <w:kern w:val="0"/>
          <w:sz w:val="32"/>
          <w:szCs w:val="32"/>
        </w:rPr>
        <w:t>总则</w:t>
      </w:r>
    </w:p>
    <w:p w14:paraId="471F666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第一条</w:t>
      </w:r>
      <w:r>
        <w:rPr>
          <w:rFonts w:hint="eastAsia" w:ascii="仿宋_GB2312" w:hAnsi="仿宋_GB2312" w:eastAsia="仿宋_GB2312" w:cs="Arial"/>
          <w:kern w:val="0"/>
          <w:sz w:val="32"/>
          <w:szCs w:val="32"/>
        </w:rPr>
        <w:t xml:space="preserve"> 为加强西北能源化工有限责任公司（以下简称西北能化公司）物资供应管理，规范物资供应行为，降低物资采购成本，根据皖北煤电经管〔2024〕239号文《皖北煤电集团公司物资供应管理办法》及皖北煤电经管〔2025〕205号文《皖北煤电集团公司关于印发进一步规范物资供应管理工作实施意见的通知》，并结合公司实际，制定本办法。</w:t>
      </w:r>
    </w:p>
    <w:p w14:paraId="1AA7D2C9">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第二条 </w:t>
      </w:r>
      <w:r>
        <w:rPr>
          <w:rFonts w:hint="eastAsia" w:ascii="仿宋_GB2312" w:hAnsi="仿宋_GB2312" w:eastAsia="仿宋_GB2312" w:cs="Arial"/>
          <w:kern w:val="0"/>
          <w:sz w:val="32"/>
          <w:szCs w:val="32"/>
        </w:rPr>
        <w:t>本办法是公司除煤炭以外的所有生产及辅助物资、办公用品、劳动保护用品以及其他物资采购。</w:t>
      </w:r>
    </w:p>
    <w:p w14:paraId="334E354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第三条 </w:t>
      </w:r>
      <w:r>
        <w:rPr>
          <w:rFonts w:hint="eastAsia" w:ascii="仿宋_GB2312" w:hAnsi="仿宋_GB2312" w:eastAsia="仿宋_GB2312" w:cs="Arial"/>
          <w:kern w:val="0"/>
          <w:sz w:val="32"/>
          <w:szCs w:val="32"/>
        </w:rPr>
        <w:t>本办法术语解释</w:t>
      </w:r>
    </w:p>
    <w:p w14:paraId="5A5F7B0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（一）物资：</w:t>
      </w:r>
      <w:r>
        <w:rPr>
          <w:rFonts w:hint="eastAsia" w:ascii="仿宋_GB2312" w:hAnsi="仿宋_GB2312" w:eastAsia="仿宋_GB2312" w:cs="Arial"/>
          <w:kern w:val="0"/>
          <w:sz w:val="32"/>
          <w:szCs w:val="32"/>
        </w:rPr>
        <w:t>企业生产运营过程中因安全、生产、经营</w:t>
      </w:r>
      <w:r>
        <w:rPr>
          <w:rFonts w:hint="eastAsia" w:ascii="仿宋_GB2312" w:hAnsi="仿宋_GB2312" w:eastAsia="仿宋_GB2312" w:cs="Arial"/>
          <w:kern w:val="0"/>
          <w:sz w:val="32"/>
          <w:szCs w:val="32"/>
          <w:lang w:val="en-US" w:eastAsia="zh-CN"/>
        </w:rPr>
        <w:t>等</w:t>
      </w:r>
      <w:r>
        <w:rPr>
          <w:rFonts w:hint="eastAsia" w:ascii="仿宋_GB2312" w:hAnsi="仿宋_GB2312" w:eastAsia="仿宋_GB2312" w:cs="Arial"/>
          <w:kern w:val="0"/>
          <w:sz w:val="32"/>
          <w:szCs w:val="32"/>
        </w:rPr>
        <w:t>所需的原（辅）材料、燃料、设备和备件等。</w:t>
      </w:r>
    </w:p>
    <w:p w14:paraId="1BFE996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（二）采购人：</w:t>
      </w:r>
      <w:r>
        <w:rPr>
          <w:rFonts w:hint="eastAsia" w:ascii="仿宋_GB2312" w:hAnsi="仿宋_GB2312" w:eastAsia="仿宋_GB2312" w:cs="Arial"/>
          <w:kern w:val="0"/>
          <w:sz w:val="32"/>
          <w:szCs w:val="32"/>
        </w:rPr>
        <w:t>依据职能分工承担采购任务的法人或组织，在招标投标活动中称为招标人。</w:t>
      </w:r>
    </w:p>
    <w:p w14:paraId="114FB53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（三）供应商：</w:t>
      </w:r>
      <w:r>
        <w:rPr>
          <w:rFonts w:hint="eastAsia" w:ascii="仿宋_GB2312" w:hAnsi="仿宋_GB2312" w:eastAsia="仿宋_GB2312" w:cs="Arial"/>
          <w:kern w:val="0"/>
          <w:sz w:val="32"/>
          <w:szCs w:val="32"/>
        </w:rPr>
        <w:t>为采购人提供货物的供货商，在招标投标活动中称为投标人。</w:t>
      </w:r>
    </w:p>
    <w:p w14:paraId="39E7228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（四）非依法必须招标项目：</w:t>
      </w:r>
      <w:r>
        <w:rPr>
          <w:rFonts w:hint="eastAsia" w:ascii="仿宋_GB2312" w:hAnsi="仿宋_GB2312" w:eastAsia="仿宋_GB2312" w:cs="Arial"/>
          <w:kern w:val="0"/>
          <w:sz w:val="32"/>
          <w:szCs w:val="32"/>
        </w:rPr>
        <w:t>法律规定必须进行招标之外的、可采用招标方式进行，执行法律一般性条款；也可采用其他方式进行的采购项目。</w:t>
      </w:r>
    </w:p>
    <w:p w14:paraId="73241C9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（五）集中采购：</w:t>
      </w:r>
      <w:r>
        <w:rPr>
          <w:rFonts w:hint="eastAsia" w:ascii="仿宋_GB2312" w:hAnsi="仿宋_GB2312" w:eastAsia="仿宋_GB2312" w:cs="Arial"/>
          <w:kern w:val="0"/>
          <w:sz w:val="32"/>
          <w:szCs w:val="32"/>
        </w:rPr>
        <w:t>区别分散采购，针对同类、功能相近或关联标的，进行捆绑采购的组织管理形式。</w:t>
      </w:r>
    </w:p>
    <w:p w14:paraId="4B6A73C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（六）电子采购平台：</w:t>
      </w:r>
      <w:r>
        <w:rPr>
          <w:rFonts w:hint="eastAsia" w:ascii="仿宋_GB2312" w:hAnsi="仿宋_GB2312" w:eastAsia="仿宋_GB2312" w:cs="Arial"/>
          <w:kern w:val="0"/>
          <w:sz w:val="32"/>
          <w:szCs w:val="32"/>
        </w:rPr>
        <w:t>通过网络技术进行信息交换与传递，并为企业采购管理、交易、监督提供软件系统支撑的电子商务系统。</w:t>
      </w:r>
    </w:p>
    <w:p w14:paraId="4DE84A5F">
      <w:pPr>
        <w:keepNext w:val="0"/>
        <w:keepLines w:val="0"/>
        <w:pageBreakBefore w:val="0"/>
        <w:wordWrap/>
        <w:overflowPunct/>
        <w:topLinePunct w:val="0"/>
        <w:bidi w:val="0"/>
        <w:spacing w:line="520" w:lineRule="exact"/>
        <w:jc w:val="center"/>
        <w:rPr>
          <w:rFonts w:hint="eastAsia" w:ascii="黑体" w:hAnsi="黑体" w:eastAsia="黑体" w:cs="Arial"/>
          <w:kern w:val="0"/>
          <w:sz w:val="32"/>
          <w:szCs w:val="32"/>
        </w:rPr>
      </w:pPr>
      <w:r>
        <w:rPr>
          <w:rFonts w:hint="eastAsia" w:ascii="黑体" w:hAnsi="黑体" w:eastAsia="黑体" w:cs="Arial"/>
          <w:kern w:val="0"/>
          <w:sz w:val="32"/>
          <w:szCs w:val="32"/>
        </w:rPr>
        <w:t>第二章</w:t>
      </w:r>
      <w:r>
        <w:rPr>
          <w:rFonts w:hint="eastAsia" w:ascii="黑体" w:hAnsi="黑体" w:eastAsia="黑体" w:cs="Arial"/>
          <w:kern w:val="0"/>
          <w:sz w:val="32"/>
          <w:szCs w:val="32"/>
          <w:lang w:val="en-US" w:eastAsia="zh-CN"/>
        </w:rPr>
        <w:t xml:space="preserve"> </w:t>
      </w:r>
      <w:r>
        <w:rPr>
          <w:rFonts w:hint="eastAsia" w:ascii="黑体" w:hAnsi="黑体" w:eastAsia="黑体" w:cs="Arial"/>
          <w:kern w:val="0"/>
          <w:sz w:val="32"/>
          <w:szCs w:val="32"/>
        </w:rPr>
        <w:t>组织机构及职责分工</w:t>
      </w:r>
    </w:p>
    <w:p w14:paraId="6379F76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第四条 </w:t>
      </w:r>
      <w:r>
        <w:rPr>
          <w:rFonts w:hint="eastAsia" w:ascii="仿宋_GB2312" w:hAnsi="仿宋_GB2312" w:eastAsia="仿宋_GB2312" w:cs="Arial"/>
          <w:kern w:val="0"/>
          <w:sz w:val="32"/>
          <w:szCs w:val="32"/>
        </w:rPr>
        <w:t>西北能化公司成立物资供应领导小组，总经理任组长，副总经理及总工程师为副组长，各副总师及部门负责人为成员的领导小组，主要职责包括</w:t>
      </w:r>
      <w:r>
        <w:rPr>
          <w:rFonts w:hint="eastAsia" w:ascii="仿宋_GB2312" w:hAnsi="仿宋_GB2312" w:eastAsia="仿宋_GB2312" w:cs="Arial"/>
          <w:kern w:val="0"/>
          <w:sz w:val="32"/>
          <w:szCs w:val="32"/>
          <w:lang w:eastAsia="zh-CN"/>
        </w:rPr>
        <w:t>：</w:t>
      </w:r>
    </w:p>
    <w:p w14:paraId="5914080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（一）负责物资计划审查、审批以及过程实施、监督等相关工作</w:t>
      </w:r>
      <w:r>
        <w:rPr>
          <w:rFonts w:hint="eastAsia" w:ascii="仿宋_GB2312" w:hAnsi="仿宋_GB2312" w:eastAsia="仿宋_GB2312" w:cs="Arial"/>
          <w:kern w:val="0"/>
          <w:sz w:val="32"/>
          <w:szCs w:val="32"/>
          <w:lang w:eastAsia="zh-CN"/>
        </w:rPr>
        <w:t>；</w:t>
      </w:r>
    </w:p>
    <w:p w14:paraId="70859CF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（二）审议供应管理重大事项，提交经理办公会审定；</w:t>
      </w:r>
    </w:p>
    <w:p w14:paraId="50E352B9">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（三）协调物资供应工作中的重大事项。</w:t>
      </w:r>
    </w:p>
    <w:p w14:paraId="3BE9567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物资供应领导小组下设办公室，办公室设在销售采购部，销售采购部部长任办公室主任。</w:t>
      </w:r>
    </w:p>
    <w:p w14:paraId="01A6726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第五条</w:t>
      </w:r>
      <w:r>
        <w:rPr>
          <w:rFonts w:hint="eastAsia" w:ascii="仿宋_GB2312" w:hAnsi="仿宋_GB2312" w:eastAsia="仿宋_GB2312" w:cs="Arial"/>
          <w:kern w:val="0"/>
          <w:sz w:val="32"/>
          <w:szCs w:val="32"/>
          <w:lang w:val="en-US" w:eastAsia="zh-CN"/>
        </w:rPr>
        <w:t xml:space="preserve"> </w:t>
      </w:r>
      <w:r>
        <w:rPr>
          <w:rFonts w:hint="eastAsia" w:ascii="仿宋_GB2312" w:hAnsi="仿宋_GB2312" w:eastAsia="仿宋_GB2312" w:cs="Arial"/>
          <w:kern w:val="0"/>
          <w:sz w:val="32"/>
          <w:szCs w:val="32"/>
        </w:rPr>
        <w:t>职责分工</w:t>
      </w:r>
    </w:p>
    <w:p w14:paraId="698010EA">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（一）经管物资部职责</w:t>
      </w:r>
    </w:p>
    <w:p w14:paraId="7115DAF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1.负责组织审核物资供应管理制度；</w:t>
      </w:r>
    </w:p>
    <w:p w14:paraId="6E7F1C7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2.负责监督、指导物资供应活动；</w:t>
      </w:r>
    </w:p>
    <w:p w14:paraId="1D74B59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3.负责物资需求计划的统计和平衡利库，组织公司月度采购计划的审核；</w:t>
      </w:r>
    </w:p>
    <w:p w14:paraId="21661A2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4.负责达到本公司招标管理办法限额以上物资采购招标事宜；</w:t>
      </w:r>
    </w:p>
    <w:p w14:paraId="6506E10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5.负责对接集团公司物资编码的审核和增补；</w:t>
      </w:r>
    </w:p>
    <w:p w14:paraId="53F48C1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6.负责物资的仓储管理</w:t>
      </w:r>
      <w:r>
        <w:rPr>
          <w:rFonts w:hint="eastAsia" w:ascii="仿宋_GB2312" w:hAnsi="仿宋_GB2312" w:eastAsia="仿宋_GB2312" w:cs="Arial"/>
          <w:kern w:val="0"/>
          <w:sz w:val="32"/>
          <w:szCs w:val="32"/>
          <w:lang w:eastAsia="zh-CN"/>
        </w:rPr>
        <w:t>，</w:t>
      </w:r>
      <w:r>
        <w:rPr>
          <w:rFonts w:hint="eastAsia" w:ascii="仿宋_GB2312" w:hAnsi="仿宋_GB2312" w:eastAsia="仿宋_GB2312" w:cs="Arial"/>
          <w:kern w:val="0"/>
          <w:sz w:val="32"/>
          <w:szCs w:val="32"/>
        </w:rPr>
        <w:t>统计到货后长期未领用的闲置物资并预警；</w:t>
      </w:r>
    </w:p>
    <w:p w14:paraId="67AFE69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7.参与物资调查处理质量、价格和服务纠纷</w:t>
      </w:r>
      <w:r>
        <w:rPr>
          <w:rFonts w:hint="eastAsia" w:ascii="仿宋_GB2312" w:hAnsi="仿宋_GB2312" w:eastAsia="仿宋_GB2312" w:cs="Arial"/>
          <w:kern w:val="0"/>
          <w:sz w:val="32"/>
          <w:szCs w:val="32"/>
        </w:rPr>
        <w:t>。</w:t>
      </w:r>
    </w:p>
    <w:p w14:paraId="622DEF38">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（二）销售采购部职责</w:t>
      </w:r>
    </w:p>
    <w:p w14:paraId="173F124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1.负责初拟、审核并落实公司物资供应管理等相关制度；</w:t>
      </w:r>
    </w:p>
    <w:p w14:paraId="69AE27C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2.负责公司月度采购计划的审核，编制物资采购月度计划；</w:t>
      </w:r>
    </w:p>
    <w:p w14:paraId="5939F22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3.负责组织物资采购前期调研和市场分析工作，完善物资的计划价和采购周期。</w:t>
      </w:r>
    </w:p>
    <w:p w14:paraId="1F0AFC9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4.负责物资采购计划的落实，物资采购供应商的确定，物资采购合同的起草、签订和执行；</w:t>
      </w:r>
    </w:p>
    <w:p w14:paraId="0387DD9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5.组织物资到货的验收，对已验收合格的物资，负责对接供应商开具发票并办理入账；原则上货到验收合格后三个月内完成入账工作；同时在集团公司物资供应系统上传验收及合同等相关资料。</w:t>
      </w:r>
    </w:p>
    <w:p w14:paraId="0E4D4D1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6.根据采购计划编制年度（月度）资金预算；</w:t>
      </w:r>
    </w:p>
    <w:p w14:paraId="4694282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7.对采购的重点物资建立使用质量反馈机制；</w:t>
      </w:r>
    </w:p>
    <w:p w14:paraId="3CD5391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8.负责公司供应商管理；</w:t>
      </w:r>
    </w:p>
    <w:p w14:paraId="5AFCB1F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9.负责受理采购物资供应商的投诉；</w:t>
      </w:r>
      <w:r>
        <w:rPr>
          <w:rFonts w:hint="eastAsia" w:ascii="仿宋_GB2312" w:hAnsi="仿宋_GB2312" w:eastAsia="仿宋_GB2312" w:cs="Arial"/>
          <w:kern w:val="0"/>
          <w:sz w:val="32"/>
          <w:szCs w:val="32"/>
        </w:rPr>
        <w:t>处理公司物资采购过程中的质量、价格等纠纷。</w:t>
      </w:r>
    </w:p>
    <w:p w14:paraId="2B439BC2">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（三）财务部职责</w:t>
      </w:r>
    </w:p>
    <w:p w14:paraId="5BBB2B3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1.负责审批物资采购资金需求计划，审查和监督物资采购资金预算执行情况；</w:t>
      </w:r>
    </w:p>
    <w:p w14:paraId="36755FE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2.负责对物资采购资金使用情况进行监督检查；</w:t>
      </w:r>
    </w:p>
    <w:p w14:paraId="4FECFDF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3.负责物资供应的发票入账、价款结算和资金支付；</w:t>
      </w:r>
    </w:p>
    <w:p w14:paraId="51D8509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4.负责采购物资的暂估工作。</w:t>
      </w:r>
    </w:p>
    <w:p w14:paraId="7298727D">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（四）生产技术部职责</w:t>
      </w:r>
    </w:p>
    <w:p w14:paraId="5D6D2A1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1.编制本部门及下设各车间的年度物资需求计划。</w:t>
      </w:r>
    </w:p>
    <w:p w14:paraId="3FF5420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2.指导和协调下设各车间月度物资需求计划申报，负责化工药剂、工艺阀门、专用工具、日常材料，工程材料、技改材料以及大修材料等物资需求计划的申报、审核等；并提供采购物资</w:t>
      </w:r>
      <w:r>
        <w:rPr>
          <w:rFonts w:hint="eastAsia" w:ascii="仿宋_GB2312" w:hAnsi="仿宋_GB2312" w:eastAsia="仿宋_GB2312" w:cs="Arial"/>
          <w:kern w:val="0"/>
          <w:sz w:val="32"/>
          <w:szCs w:val="32"/>
        </w:rPr>
        <w:t>技术要求；</w:t>
      </w:r>
    </w:p>
    <w:p w14:paraId="3EF2AF7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lang w:val="en-US" w:eastAsia="zh-CN"/>
        </w:rPr>
        <w:t>3</w:t>
      </w:r>
      <w:r>
        <w:rPr>
          <w:rFonts w:hint="eastAsia" w:ascii="仿宋_GB2312" w:hAnsi="仿宋_GB2312" w:eastAsia="仿宋_GB2312" w:cs="Arial"/>
          <w:kern w:val="0"/>
          <w:sz w:val="32"/>
          <w:szCs w:val="32"/>
        </w:rPr>
        <w:t>.参与物资采购评定、到货验收等工作；</w:t>
      </w:r>
    </w:p>
    <w:p w14:paraId="7F41D5B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lang w:val="en-US" w:eastAsia="zh-CN"/>
        </w:rPr>
        <w:t>4</w:t>
      </w:r>
      <w:r>
        <w:rPr>
          <w:rFonts w:hint="eastAsia" w:ascii="仿宋_GB2312" w:hAnsi="仿宋_GB2312" w:eastAsia="仿宋_GB2312" w:cs="Arial"/>
          <w:kern w:val="0"/>
          <w:sz w:val="32"/>
          <w:szCs w:val="32"/>
        </w:rPr>
        <w:t>.参与采购物资的质量、价格、服务问题的反馈，对供应商的评价工作。</w:t>
      </w:r>
    </w:p>
    <w:p w14:paraId="1BB0F938">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（五）设备管理部职责</w:t>
      </w:r>
    </w:p>
    <w:p w14:paraId="6F55991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1.编制本部门及下设各车间的年度物资需求计划。</w:t>
      </w:r>
    </w:p>
    <w:p w14:paraId="41DF90C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2.指导和协调下设各车间月度物资需求计划申报，负责备品备件、仪表阀门、电气材料、专用工具、检测报警仪器，工程材料、技改材料以及大修备件等物资需求计划的申报、审核等；并提供采购物资</w:t>
      </w:r>
      <w:r>
        <w:rPr>
          <w:rFonts w:hint="eastAsia" w:ascii="仿宋_GB2312" w:hAnsi="仿宋_GB2312" w:eastAsia="仿宋_GB2312" w:cs="Arial"/>
          <w:kern w:val="0"/>
          <w:sz w:val="32"/>
          <w:szCs w:val="32"/>
        </w:rPr>
        <w:t>技术要求；</w:t>
      </w:r>
    </w:p>
    <w:p w14:paraId="38C0FDF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3.参与物资采购评定、到货验收等工作；</w:t>
      </w:r>
    </w:p>
    <w:p w14:paraId="5EDC2CB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4.参与采购物资的质量、价格、服务问题的反馈，对供应商的评价工作。</w:t>
      </w:r>
    </w:p>
    <w:p w14:paraId="3FAB9071">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（六）调度指挥中心职责</w:t>
      </w:r>
    </w:p>
    <w:p w14:paraId="33D1087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1.编制本部门及下设各车间的年度物资需求计划。</w:t>
      </w:r>
    </w:p>
    <w:p w14:paraId="753F30D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2.负责质检中心的药剂耗材、检测仪器备件以及公司三防、四防的月度物资需求计划的申报、审核等；并提供采购物资</w:t>
      </w:r>
      <w:r>
        <w:rPr>
          <w:rFonts w:hint="eastAsia" w:ascii="仿宋_GB2312" w:hAnsi="仿宋_GB2312" w:eastAsia="仿宋_GB2312" w:cs="Arial"/>
          <w:kern w:val="0"/>
          <w:sz w:val="32"/>
          <w:szCs w:val="32"/>
        </w:rPr>
        <w:t>技术要求；</w:t>
      </w:r>
    </w:p>
    <w:p w14:paraId="1440D5D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3.参与物资采购评定、到货验收等工作；</w:t>
      </w:r>
    </w:p>
    <w:p w14:paraId="16583BC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4.参与采购物资的质量、价格、服务问题的反馈，对供应商的评价工作。</w:t>
      </w:r>
    </w:p>
    <w:p w14:paraId="51FADEC5">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（七）安全监管部职责</w:t>
      </w:r>
    </w:p>
    <w:p w14:paraId="2041075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1.编制本部门的年度物资需求计划。</w:t>
      </w:r>
    </w:p>
    <w:p w14:paraId="79C3F51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2.负责劳动保护、环保、消防、安防材料以及安全整改材料等月度物资需求计划、审核等；并提供采购物资</w:t>
      </w:r>
      <w:r>
        <w:rPr>
          <w:rFonts w:hint="eastAsia" w:ascii="仿宋_GB2312" w:hAnsi="仿宋_GB2312" w:eastAsia="仿宋_GB2312" w:cs="Arial"/>
          <w:kern w:val="0"/>
          <w:sz w:val="32"/>
          <w:szCs w:val="32"/>
        </w:rPr>
        <w:t>技术要求；</w:t>
      </w:r>
    </w:p>
    <w:p w14:paraId="6D9E54A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3.参与物资采购评定、到货验收等工作；</w:t>
      </w:r>
    </w:p>
    <w:p w14:paraId="6E23BBF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4.参与采购物资的质量、价格、服务问题的反馈，对供应商的评价工作。</w:t>
      </w:r>
    </w:p>
    <w:p w14:paraId="6BEF5024">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（八）综合部职责</w:t>
      </w:r>
    </w:p>
    <w:p w14:paraId="56E26BB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1.负责办公耗材等物资需求计划的申报；并提供采购物资</w:t>
      </w:r>
      <w:r>
        <w:rPr>
          <w:rFonts w:hint="eastAsia" w:ascii="仿宋_GB2312" w:hAnsi="仿宋_GB2312" w:eastAsia="仿宋_GB2312" w:cs="Arial"/>
          <w:kern w:val="0"/>
          <w:sz w:val="32"/>
          <w:szCs w:val="32"/>
        </w:rPr>
        <w:t>技术要求；</w:t>
      </w:r>
    </w:p>
    <w:p w14:paraId="474A2D7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2.参与物资采购评定、到货验收等工作；</w:t>
      </w:r>
    </w:p>
    <w:p w14:paraId="03BEB84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3.负责采购物资的质量、价格、服务问题的反馈，参与对供应商的评价工作。</w:t>
      </w:r>
    </w:p>
    <w:p w14:paraId="1D170BBA">
      <w:pPr>
        <w:keepNext w:val="0"/>
        <w:keepLines w:val="0"/>
        <w:pageBreakBefore w:val="0"/>
        <w:tabs>
          <w:tab w:val="left" w:pos="4680"/>
        </w:tabs>
        <w:wordWrap/>
        <w:overflowPunct/>
        <w:topLinePunct w:val="0"/>
        <w:bidi w:val="0"/>
        <w:spacing w:line="520" w:lineRule="exact"/>
        <w:ind w:firstLine="640" w:firstLineChars="200"/>
        <w:rPr>
          <w:rFonts w:hint="default" w:ascii="仿宋_GB2312" w:hAnsi="仿宋_GB2312" w:eastAsia="仿宋_GB2312" w:cs="Arial"/>
          <w:kern w:val="0"/>
          <w:sz w:val="32"/>
          <w:szCs w:val="32"/>
          <w:lang w:val="en-US" w:eastAsia="zh-CN"/>
        </w:rPr>
      </w:pPr>
      <w:r>
        <w:rPr>
          <w:rFonts w:hint="eastAsia" w:ascii="仿宋_GB2312" w:hAnsi="仿宋_GB2312" w:eastAsia="仿宋_GB2312" w:cs="Arial"/>
          <w:kern w:val="0"/>
          <w:sz w:val="32"/>
          <w:szCs w:val="32"/>
        </w:rPr>
        <w:t>4.</w:t>
      </w:r>
      <w:r>
        <w:rPr>
          <w:rFonts w:hint="eastAsia" w:ascii="仿宋_GB2312" w:hAnsi="仿宋_GB2312" w:eastAsia="仿宋_GB2312" w:cs="Arial"/>
          <w:kern w:val="0"/>
          <w:sz w:val="32"/>
          <w:szCs w:val="32"/>
          <w:lang w:val="en-US" w:eastAsia="zh-CN"/>
        </w:rPr>
        <w:t>办公用品的保管、发放等工作；</w:t>
      </w:r>
    </w:p>
    <w:p w14:paraId="46B015F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lang w:val="en-US" w:eastAsia="zh-CN"/>
        </w:rPr>
        <w:t>5.</w:t>
      </w:r>
      <w:r>
        <w:rPr>
          <w:rFonts w:hint="eastAsia" w:ascii="仿宋_GB2312" w:hAnsi="仿宋_GB2312" w:eastAsia="仿宋_GB2312" w:cs="Arial"/>
          <w:kern w:val="0"/>
          <w:sz w:val="32"/>
          <w:szCs w:val="32"/>
        </w:rPr>
        <w:t>负责物资采购合同用印管理及合法合规性审查；</w:t>
      </w:r>
    </w:p>
    <w:p w14:paraId="6C46A77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lang w:val="en-US" w:eastAsia="zh-CN"/>
        </w:rPr>
        <w:t>6</w:t>
      </w:r>
      <w:r>
        <w:rPr>
          <w:rFonts w:hint="eastAsia" w:ascii="仿宋_GB2312" w:hAnsi="仿宋_GB2312" w:eastAsia="仿宋_GB2312" w:cs="Arial"/>
          <w:kern w:val="0"/>
          <w:sz w:val="32"/>
          <w:szCs w:val="32"/>
        </w:rPr>
        <w:t>.负责物资采购合同档案管理。</w:t>
      </w:r>
    </w:p>
    <w:p w14:paraId="6D92CC01">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（九）纪委职责</w:t>
      </w:r>
    </w:p>
    <w:p w14:paraId="7BF62E4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负责组织查处物资供应活动中的违规行为和违纪行为；参与物资调查处理质量、价格和服务纠纷。 </w:t>
      </w:r>
    </w:p>
    <w:p w14:paraId="2E595745">
      <w:pPr>
        <w:keepNext w:val="0"/>
        <w:keepLines w:val="0"/>
        <w:pageBreakBefore w:val="0"/>
        <w:tabs>
          <w:tab w:val="left" w:pos="4680"/>
        </w:tabs>
        <w:wordWrap/>
        <w:overflowPunct/>
        <w:topLinePunct w:val="0"/>
        <w:bidi w:val="0"/>
        <w:spacing w:line="520" w:lineRule="exact"/>
        <w:ind w:firstLine="640" w:firstLineChars="200"/>
        <w:jc w:val="center"/>
        <w:rPr>
          <w:rFonts w:hint="eastAsia" w:ascii="黑体" w:hAnsi="黑体" w:eastAsia="黑体" w:cs="黑体"/>
          <w:kern w:val="0"/>
          <w:sz w:val="32"/>
          <w:szCs w:val="32"/>
        </w:rPr>
      </w:pPr>
      <w:r>
        <w:rPr>
          <w:rFonts w:hint="eastAsia" w:ascii="黑体" w:hAnsi="黑体" w:eastAsia="黑体" w:cs="黑体"/>
          <w:kern w:val="0"/>
          <w:sz w:val="32"/>
          <w:szCs w:val="32"/>
        </w:rPr>
        <w:t>第三章</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物资计划管理</w:t>
      </w:r>
    </w:p>
    <w:p w14:paraId="3475BC0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第六条 </w:t>
      </w:r>
      <w:r>
        <w:rPr>
          <w:rFonts w:hint="eastAsia" w:ascii="仿宋_GB2312" w:hAnsi="仿宋_GB2312" w:eastAsia="仿宋_GB2312" w:cs="Arial"/>
          <w:kern w:val="0"/>
          <w:sz w:val="32"/>
          <w:szCs w:val="32"/>
        </w:rPr>
        <w:t>物资采购计划以月度计划为主，增补计划、紧急计划为补充的管理模式。</w:t>
      </w:r>
    </w:p>
    <w:p w14:paraId="23BAF05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（一）年度计划是依据往年材料消耗规律、当年物资需求预测、年度全面预算等编制的物资计划。</w:t>
      </w:r>
    </w:p>
    <w:p w14:paraId="55A43D3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（二）月度计划是根据月度生产作业计划和日常消耗水平及设备维护需要编制的物资计划。</w:t>
      </w:r>
    </w:p>
    <w:p w14:paraId="18CD0C2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（三）增补计划是因生产情况等发生变化，对月度计划做必要补充而编制的物资计划。</w:t>
      </w:r>
    </w:p>
    <w:p w14:paraId="0D57C4E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（四）紧急计划是遇到突发事故、应急抢险等影响安全生产的情形而编制的物资计划。</w:t>
      </w:r>
    </w:p>
    <w:p w14:paraId="7B28B29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增补流程：经单位主要负责人、分管领导、总经理审批后报销售采购部；增补计划限应急材料和领导临时安排的施工材料。</w:t>
      </w:r>
    </w:p>
    <w:p w14:paraId="6359512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第七条</w:t>
      </w:r>
      <w:r>
        <w:rPr>
          <w:rFonts w:hint="eastAsia" w:ascii="仿宋_GB2312" w:hAnsi="仿宋_GB2312" w:eastAsia="仿宋_GB2312" w:cs="Arial"/>
          <w:kern w:val="0"/>
          <w:sz w:val="32"/>
          <w:szCs w:val="32"/>
          <w:lang w:val="en-US" w:eastAsia="zh-CN"/>
        </w:rPr>
        <w:t xml:space="preserve"> </w:t>
      </w:r>
      <w:r>
        <w:rPr>
          <w:rFonts w:hint="eastAsia" w:ascii="仿宋_GB2312" w:hAnsi="仿宋_GB2312" w:eastAsia="仿宋_GB2312" w:cs="Arial"/>
          <w:kern w:val="0"/>
          <w:sz w:val="32"/>
          <w:szCs w:val="32"/>
        </w:rPr>
        <w:t>物资计划的审核、审查</w:t>
      </w:r>
    </w:p>
    <w:p w14:paraId="748B4BD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各单位严格以生产任务为依据，以月度物资预算为基础，编制月度物资需求计划；各车间上报的物资计划首先由本部门预审后报分管领导审核，签字确认。每月20日前各单位上报物资需求计划，25日前经管物资部仓库人员完成需求计划的平衡利库，30日前销售采购部完成需求计划的预算（新物资要进行市场询价）并编制物资需求计划的预算表，次月5日前召开公司层面物资需求计划审查会，会议由总经理主持，副总经理及总工程师逐项审查，次月7日前销售采购部采购人员根据审查会要求编制完成采购计划并汇总报经营副总经理、总经理签字后执行采购任务。</w:t>
      </w:r>
    </w:p>
    <w:p w14:paraId="1EE8541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（二）公司实行物资专业化管理，谁使用、谁出账原则。劳动保护用品统一由安全监管部统一审查、申报计划、对各单位进行审批；</w:t>
      </w:r>
      <w:r>
        <w:rPr>
          <w:rFonts w:hint="eastAsia" w:ascii="仿宋_GB2312" w:hAnsi="仿宋_GB2312" w:eastAsia="仿宋_GB2312" w:cs="Arial"/>
          <w:kern w:val="0"/>
          <w:sz w:val="32"/>
          <w:szCs w:val="32"/>
        </w:rPr>
        <w:t>易耗品统一由所属部门审查、申报计划、对领用进行审批；统一由所属部门审查、申报计划、对领用进行审批；配件统一由设备管理部审查、申报计划、对领用进行审批；仪器仪表统一由仪表车间审查、申报计划、对领用进行审批；</w:t>
      </w:r>
      <w:r>
        <w:rPr>
          <w:rFonts w:hint="eastAsia" w:ascii="仿宋_GB2312" w:hAnsi="仿宋_GB2312" w:eastAsia="仿宋_GB2312" w:cs="Arial"/>
          <w:kern w:val="0"/>
          <w:sz w:val="32"/>
          <w:szCs w:val="32"/>
        </w:rPr>
        <w:t>电气物资由电气车间审查、申报计划、对领用进行审批；三防四防等应急物资由调度指挥中心审查、申报计划、对领用进行审批。上级安全检查整改</w:t>
      </w:r>
      <w:r>
        <w:rPr>
          <w:rFonts w:hint="eastAsia" w:ascii="仿宋_GB2312" w:hAnsi="仿宋_GB2312" w:eastAsia="仿宋_GB2312" w:cs="Arial"/>
          <w:kern w:val="0"/>
          <w:sz w:val="32"/>
          <w:szCs w:val="32"/>
        </w:rPr>
        <w:t>物资统一由安全监管部审查、申报计划，对领用进行审批。</w:t>
      </w:r>
    </w:p>
    <w:p w14:paraId="51EDBA0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各部门在编制物资需求计划时，对物资须准确详细提供物资编码、名称、规格、型号、数量、相关技术参数、预计使用时间等详细内容，对指定厂家实行单一来源采购方式的物资采购，且要经分管领导、主要领导审定或物资审查会审定。</w:t>
      </w:r>
    </w:p>
    <w:p w14:paraId="2807BFE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（四）各单位申报</w:t>
      </w:r>
      <w:r>
        <w:rPr>
          <w:rFonts w:hint="eastAsia" w:ascii="仿宋_GB2312" w:hAnsi="仿宋_GB2312" w:eastAsia="仿宋_GB2312" w:cs="Arial"/>
          <w:kern w:val="0"/>
          <w:sz w:val="32"/>
          <w:szCs w:val="32"/>
        </w:rPr>
        <w:t>物资计划时应充分考虑本单位安全生产实际情况；如因计划上报不准确、漏报等因素导致影响安全生产的，其责任由申报单位自行承担。</w:t>
      </w:r>
    </w:p>
    <w:p w14:paraId="4C5983F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（五）物资使用部门提出的未使用过的新设备、新</w:t>
      </w:r>
      <w:r>
        <w:rPr>
          <w:rFonts w:hint="eastAsia" w:ascii="仿宋_GB2312" w:hAnsi="仿宋_GB2312" w:eastAsia="仿宋_GB2312" w:cs="Arial"/>
          <w:kern w:val="0"/>
          <w:sz w:val="32"/>
          <w:szCs w:val="32"/>
        </w:rPr>
        <w:t>物资，必须经公司有关主管部门和总工程师对其性价比认真审核签字后，方可上报。办公及家电用品的采购，必须经公司董事长批准，方能采购。</w:t>
      </w:r>
    </w:p>
    <w:p w14:paraId="21296BE9">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第八条</w:t>
      </w:r>
      <w:r>
        <w:rPr>
          <w:rFonts w:hint="eastAsia" w:ascii="仿宋_GB2312" w:hAnsi="仿宋_GB2312" w:eastAsia="仿宋_GB2312" w:cs="Arial"/>
          <w:kern w:val="0"/>
          <w:sz w:val="32"/>
          <w:szCs w:val="32"/>
          <w:lang w:val="en-US" w:eastAsia="zh-CN"/>
        </w:rPr>
        <w:t xml:space="preserve"> </w:t>
      </w:r>
      <w:r>
        <w:rPr>
          <w:rFonts w:hint="eastAsia" w:ascii="仿宋_GB2312" w:hAnsi="仿宋_GB2312" w:eastAsia="仿宋_GB2312" w:cs="Arial"/>
          <w:kern w:val="0"/>
          <w:sz w:val="32"/>
          <w:szCs w:val="32"/>
        </w:rPr>
        <w:t>物资计划监督管理</w:t>
      </w:r>
    </w:p>
    <w:p w14:paraId="4D1D8BC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各单位计划报送后，不得重复申报。发现错报，或因生产工程变化较大，需要变更需求计划时，在未采购前用料单位应及时以书面形式向销售采购部报送变更计划，若已到货或已签订供应合同，销售采购部联系供货厂家协调，经协调无效所造成的损失由计划上报单位承担。</w:t>
      </w:r>
    </w:p>
    <w:p w14:paraId="0189469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（二）各单位要及时与销售采购部联系材料采购情况，因计划失效等原因，无故重复申报计划的，扣除该单位负责人及</w:t>
      </w:r>
      <w:r>
        <w:rPr>
          <w:rFonts w:hint="eastAsia" w:ascii="仿宋_GB2312" w:hAnsi="仿宋_GB2312" w:eastAsia="仿宋_GB2312" w:cs="Arial"/>
          <w:kern w:val="0"/>
          <w:sz w:val="32"/>
          <w:szCs w:val="32"/>
        </w:rPr>
        <w:t>物资上报人员每人各 50 元绩效工资。</w:t>
      </w:r>
    </w:p>
    <w:p w14:paraId="0A65BFC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各单位因计划报送不准确，导致物资积压（6个月以上）甚至报废的，造成的损失由计划上报单位承担。仓库每月要统计物资积压情况，发现日常物资及设备标准配件超过三个月无动态物资每项扣部门50元，设备专用配件发现超过六个月无动态物资每项扣部门100元（进口备件除设备更新不再使用情形外，无论到场时间长短均不被认定为长期闲置物资</w:t>
      </w:r>
      <w:r>
        <w:rPr>
          <w:rFonts w:hint="eastAsia" w:ascii="仿宋_GB2312" w:hAnsi="仿宋_GB2312" w:eastAsia="仿宋_GB2312" w:cs="Arial"/>
          <w:kern w:val="0"/>
          <w:sz w:val="32"/>
          <w:szCs w:val="32"/>
          <w:lang w:eastAsia="zh-CN"/>
        </w:rPr>
        <w:t>）</w:t>
      </w:r>
      <w:r>
        <w:rPr>
          <w:rFonts w:hint="eastAsia" w:ascii="仿宋_GB2312" w:hAnsi="仿宋_GB2312" w:eastAsia="仿宋_GB2312" w:cs="Arial"/>
          <w:kern w:val="0"/>
          <w:sz w:val="32"/>
          <w:szCs w:val="32"/>
        </w:rPr>
        <w:t>。</w:t>
      </w:r>
    </w:p>
    <w:p w14:paraId="2143DDD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（四）严禁各单位替外协单位出票领料，一经查实，除追回所领</w:t>
      </w:r>
      <w:r>
        <w:rPr>
          <w:rFonts w:hint="eastAsia" w:ascii="仿宋_GB2312" w:hAnsi="仿宋_GB2312" w:eastAsia="仿宋_GB2312" w:cs="Arial"/>
          <w:kern w:val="0"/>
          <w:sz w:val="32"/>
          <w:szCs w:val="32"/>
        </w:rPr>
        <w:t>物资外，对责任单位主要领导及责任人按照</w:t>
      </w:r>
      <w:r>
        <w:rPr>
          <w:rFonts w:hint="eastAsia" w:ascii="仿宋_GB2312" w:hAnsi="仿宋_GB2312" w:eastAsia="仿宋_GB2312" w:cs="Arial"/>
          <w:kern w:val="0"/>
          <w:sz w:val="32"/>
          <w:szCs w:val="32"/>
        </w:rPr>
        <w:t>物资原值进行处罚。造成资产流失的送交纪委，依法追究责任。</w:t>
      </w:r>
    </w:p>
    <w:p w14:paraId="43A204A1">
      <w:pPr>
        <w:keepNext w:val="0"/>
        <w:keepLines w:val="0"/>
        <w:pageBreakBefore w:val="0"/>
        <w:tabs>
          <w:tab w:val="left" w:pos="4680"/>
        </w:tabs>
        <w:wordWrap/>
        <w:overflowPunct/>
        <w:topLinePunct w:val="0"/>
        <w:bidi w:val="0"/>
        <w:spacing w:line="520" w:lineRule="exact"/>
        <w:jc w:val="center"/>
        <w:rPr>
          <w:rFonts w:hint="eastAsia" w:ascii="仿宋_GB2312" w:hAnsi="仿宋_GB2312" w:eastAsia="仿宋_GB2312" w:cs="Arial"/>
          <w:kern w:val="0"/>
          <w:sz w:val="32"/>
          <w:szCs w:val="32"/>
        </w:rPr>
      </w:pPr>
      <w:r>
        <w:rPr>
          <w:rFonts w:hint="eastAsia" w:ascii="黑体" w:hAnsi="黑体" w:eastAsia="黑体" w:cs="黑体"/>
          <w:kern w:val="0"/>
          <w:sz w:val="32"/>
          <w:szCs w:val="32"/>
        </w:rPr>
        <w:t>第四章</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物资采购管理</w:t>
      </w:r>
    </w:p>
    <w:p w14:paraId="39985C9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第九条 </w:t>
      </w:r>
      <w:r>
        <w:rPr>
          <w:rFonts w:hint="eastAsia" w:ascii="仿宋_GB2312" w:hAnsi="仿宋_GB2312" w:eastAsia="仿宋_GB2312" w:cs="Arial"/>
          <w:kern w:val="0"/>
          <w:sz w:val="32"/>
          <w:szCs w:val="32"/>
        </w:rPr>
        <w:t>销售采购部是公司物资采购的责任部门，负责组织物资的采购活动，对采购前供需情况、采购成本等要素进行综合分析后，形成的总体采购策略。同一时期内物资类别、市场资源、潜在供应商等因素完全相同的物资，应编制在一个采购方案内，不得化整为零。</w:t>
      </w:r>
    </w:p>
    <w:p w14:paraId="25241CD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第十条</w:t>
      </w:r>
      <w:r>
        <w:rPr>
          <w:rFonts w:hint="eastAsia" w:ascii="仿宋_GB2312" w:hAnsi="仿宋_GB2312" w:eastAsia="仿宋_GB2312" w:cs="Arial"/>
          <w:kern w:val="0"/>
          <w:sz w:val="32"/>
          <w:szCs w:val="32"/>
        </w:rPr>
        <w:t xml:space="preserve"> 物资采购方式分为招标和非招标方式。招标采购方式包括公开招标、邀请招标；非招标采购方式指招标采购方式以外的其他采购方式。物资采购应当以公开采购为主，包括公开招标、公开询比</w:t>
      </w:r>
      <w:r>
        <w:rPr>
          <w:rFonts w:hint="eastAsia" w:ascii="仿宋_GB2312" w:hAnsi="仿宋_GB2312" w:eastAsia="仿宋_GB2312" w:cs="Arial"/>
          <w:kern w:val="0"/>
          <w:sz w:val="32"/>
          <w:szCs w:val="32"/>
          <w:lang w:eastAsia="zh-CN"/>
        </w:rPr>
        <w:t>、</w:t>
      </w:r>
      <w:r>
        <w:rPr>
          <w:rFonts w:hint="eastAsia" w:ascii="仿宋_GB2312" w:hAnsi="仿宋_GB2312" w:eastAsia="仿宋_GB2312" w:cs="Arial"/>
          <w:kern w:val="0"/>
          <w:sz w:val="32"/>
          <w:szCs w:val="32"/>
        </w:rPr>
        <w:t>经公示的单一来源采购等。</w:t>
      </w:r>
    </w:p>
    <w:p w14:paraId="757328B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第十一条</w:t>
      </w:r>
      <w:r>
        <w:rPr>
          <w:rFonts w:hint="eastAsia" w:ascii="仿宋_GB2312" w:hAnsi="仿宋_GB2312" w:eastAsia="仿宋_GB2312" w:cs="Arial"/>
          <w:kern w:val="0"/>
          <w:sz w:val="32"/>
          <w:szCs w:val="32"/>
        </w:rPr>
        <w:t xml:space="preserve"> 招标采购。采用招标方式集中采购的物资，具体执行公司《招投标管理办法》。</w:t>
      </w:r>
    </w:p>
    <w:p w14:paraId="5DEEC32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第十二条</w:t>
      </w:r>
      <w:r>
        <w:rPr>
          <w:rFonts w:hint="eastAsia" w:ascii="仿宋_GB2312" w:hAnsi="仿宋_GB2312" w:eastAsia="仿宋_GB2312" w:cs="Arial"/>
          <w:kern w:val="0"/>
          <w:sz w:val="32"/>
          <w:szCs w:val="32"/>
        </w:rPr>
        <w:t xml:space="preserve"> 非招标采购。合同估算价未达到西北能化公司招标规模标准或达到招标规模标准，但符合下列条件之一的，可以采用非招标采购方式；公司物资非招标采购方式分为询比价、竞争性谈判、单一来源、电子商城采购和线下市场比价采购，优先采用公开询比价的采购方式</w:t>
      </w:r>
      <w:r>
        <w:rPr>
          <w:rFonts w:hint="eastAsia" w:ascii="仿宋_GB2312" w:hAnsi="仿宋_GB2312" w:eastAsia="仿宋_GB2312" w:cs="Arial"/>
          <w:kern w:val="0"/>
          <w:sz w:val="32"/>
          <w:szCs w:val="32"/>
        </w:rPr>
        <w:t>。</w:t>
      </w:r>
    </w:p>
    <w:p w14:paraId="2BC2CAE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单笔合同估算价在30万元以下或虽超过30万元但不具备招标条件的，原则上优先通过“优质采”平台公开询比价采购；对参与优质采平台报价供应商不足三家，或虽然满足三家以上但其中原厂家或地区总代理仅愿意线下报价的，可采用优质采平台和线下报价相结合的形式比价采购。</w:t>
      </w:r>
    </w:p>
    <w:p w14:paraId="6AEEB7D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（二）月度物资采购计划中指定生产厂家或设备专用配件，供货渠道单一的采购项目，在优质采平台邀请原制造或配套单位单一来源采购。生产厂家未在优质采平台注册的，可以通过线下方式询价。</w:t>
      </w:r>
    </w:p>
    <w:p w14:paraId="630E93B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（三）当优质采发布后无单位报价或报价明显高于市场价，以及生产急需，优质采询价周期无法满足时，可采用市场询价和网上购物平台采购。</w:t>
      </w:r>
    </w:p>
    <w:p w14:paraId="41465FC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第十三条</w:t>
      </w:r>
      <w:r>
        <w:rPr>
          <w:rFonts w:hint="eastAsia" w:ascii="仿宋_GB2312" w:hAnsi="仿宋_GB2312" w:eastAsia="仿宋_GB2312" w:cs="Arial"/>
          <w:kern w:val="0"/>
          <w:sz w:val="32"/>
          <w:szCs w:val="32"/>
        </w:rPr>
        <w:t xml:space="preserve"> 询比采购应按照以下程序进行</w:t>
      </w:r>
    </w:p>
    <w:p w14:paraId="43D60068">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 xml:space="preserve">（一）符合下列条件的，可采用询比采购： </w:t>
      </w:r>
    </w:p>
    <w:p w14:paraId="03DA73D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1.能够准确提出采购需求和技术要求； </w:t>
      </w:r>
    </w:p>
    <w:p w14:paraId="6E99F13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2.采购标的物的技术和质量标准化程度较高； </w:t>
      </w:r>
    </w:p>
    <w:p w14:paraId="22C6BD9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3.市场潜在供应商有 3 </w:t>
      </w:r>
      <w:r>
        <w:rPr>
          <w:rFonts w:hint="eastAsia" w:ascii="仿宋_GB2312" w:hAnsi="仿宋_GB2312" w:eastAsia="仿宋_GB2312" w:cs="Arial"/>
          <w:kern w:val="0"/>
          <w:sz w:val="32"/>
          <w:szCs w:val="32"/>
        </w:rPr>
        <w:t>家及以上，能够形成充分竞争。</w:t>
      </w:r>
    </w:p>
    <w:p w14:paraId="3D642D2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（二）编制采购文件。</w:t>
      </w:r>
      <w:r>
        <w:rPr>
          <w:rFonts w:hint="eastAsia" w:ascii="仿宋_GB2312" w:hAnsi="仿宋_GB2312" w:eastAsia="仿宋_GB2312" w:cs="Arial"/>
          <w:kern w:val="0"/>
          <w:sz w:val="32"/>
          <w:szCs w:val="32"/>
        </w:rPr>
        <w:t>询比价是指通过优质采平台公开发布采购信息，符合资格条件的潜在供应商均可参与报价的采购方式；由销售采购部编制公开询比文件。询比文件主要由技术部分和商务部分组成。技术部分包括技术指标、规格型号、供货范围等；商务部分包括采购需求、供应商资格、报价须知、合同条款以及评审标准与方法等。</w:t>
      </w:r>
    </w:p>
    <w:p w14:paraId="4724650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（三）发布公告。</w:t>
      </w:r>
      <w:r>
        <w:rPr>
          <w:rFonts w:hint="eastAsia" w:ascii="仿宋_GB2312" w:hAnsi="仿宋_GB2312" w:eastAsia="仿宋_GB2312" w:cs="Arial"/>
          <w:kern w:val="0"/>
          <w:sz w:val="32"/>
          <w:szCs w:val="32"/>
        </w:rPr>
        <w:t>询比文件通过“优质采”平台发出，从询比公告及采购文件发出之日起至供应商提交首次响应文件截止之日止，一般不得少于3日，需到现场测量、咨询技术要求等，不低于5个工作日（遇节假日顺延）。</w:t>
      </w:r>
    </w:p>
    <w:p w14:paraId="5A451BD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（四）组织评审小组。</w:t>
      </w:r>
      <w:r>
        <w:rPr>
          <w:rFonts w:hint="eastAsia" w:ascii="仿宋_GB2312" w:hAnsi="仿宋_GB2312" w:eastAsia="仿宋_GB2312" w:cs="Arial"/>
          <w:kern w:val="0"/>
          <w:sz w:val="32"/>
          <w:szCs w:val="32"/>
        </w:rPr>
        <w:t>由销售采购部组织3人或3人以上的单数组成评审人员。按照采购文件规定的评审方法或电子采购平台设置的审核流程，对供应商提交的响应文件进行评审排序，推荐成交候选供应商。</w:t>
      </w:r>
    </w:p>
    <w:p w14:paraId="284A77A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（五）确定成交供应商。</w:t>
      </w:r>
      <w:r>
        <w:rPr>
          <w:rFonts w:hint="eastAsia" w:ascii="仿宋_GB2312" w:hAnsi="仿宋_GB2312" w:eastAsia="仿宋_GB2312" w:cs="Arial"/>
          <w:kern w:val="0"/>
          <w:sz w:val="32"/>
          <w:szCs w:val="32"/>
        </w:rPr>
        <w:t xml:space="preserve">采购人在电子采购平台或指定媒体进行公示，公示期一般不少于 3 </w:t>
      </w:r>
      <w:r>
        <w:rPr>
          <w:rFonts w:hint="eastAsia" w:ascii="仿宋_GB2312" w:hAnsi="仿宋_GB2312" w:eastAsia="仿宋_GB2312" w:cs="Arial"/>
          <w:kern w:val="0"/>
          <w:sz w:val="32"/>
          <w:szCs w:val="32"/>
        </w:rPr>
        <w:t xml:space="preserve">个工作日，公示无异议的，向成交供应商发出成交通知书。 </w:t>
      </w:r>
    </w:p>
    <w:p w14:paraId="4BDC118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（六）询比失败处理流程。</w:t>
      </w:r>
      <w:r>
        <w:rPr>
          <w:rFonts w:hint="eastAsia" w:ascii="仿宋_GB2312" w:hAnsi="仿宋_GB2312" w:eastAsia="仿宋_GB2312" w:cs="Arial"/>
          <w:kern w:val="0"/>
          <w:sz w:val="32"/>
          <w:szCs w:val="32"/>
        </w:rPr>
        <w:t>提交响应文件的供应商只有2</w:t>
      </w:r>
      <w:r>
        <w:rPr>
          <w:rFonts w:hint="eastAsia" w:ascii="仿宋_GB2312" w:hAnsi="仿宋_GB2312" w:eastAsia="仿宋_GB2312" w:cs="Arial"/>
          <w:kern w:val="0"/>
          <w:sz w:val="32"/>
          <w:szCs w:val="32"/>
        </w:rPr>
        <w:t xml:space="preserve">家时，销售采购部在履行采购方式转换审批程序后，可以继续进行采购活动，也可以采取相应完善措施后重新组织采购。提交响应文件或最后报价的供应商只有 1 </w:t>
      </w:r>
      <w:r>
        <w:rPr>
          <w:rFonts w:hint="eastAsia" w:ascii="仿宋_GB2312" w:hAnsi="仿宋_GB2312" w:eastAsia="仿宋_GB2312" w:cs="Arial"/>
          <w:kern w:val="0"/>
          <w:sz w:val="32"/>
          <w:szCs w:val="32"/>
        </w:rPr>
        <w:t>家时，终止采购活动，采购单位应当履行采购方式转换审批程序，实施单一来源方式采购；也可以采取相应完善措施后重新组织采购。</w:t>
      </w:r>
    </w:p>
    <w:p w14:paraId="5498A701">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（七）询比价多家单位实质响应后不允许修改为单一来源方式采购。</w:t>
      </w:r>
    </w:p>
    <w:p w14:paraId="7F4BB81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第十四条</w:t>
      </w:r>
      <w:r>
        <w:rPr>
          <w:rFonts w:hint="eastAsia" w:ascii="仿宋_GB2312" w:hAnsi="仿宋_GB2312" w:eastAsia="仿宋_GB2312" w:cs="Arial"/>
          <w:kern w:val="0"/>
          <w:sz w:val="32"/>
          <w:szCs w:val="32"/>
        </w:rPr>
        <w:t xml:space="preserve"> 竞争性谈判应按照以下程序进行：</w:t>
      </w:r>
    </w:p>
    <w:p w14:paraId="16E22552">
      <w:pPr>
        <w:keepNext w:val="0"/>
        <w:keepLines w:val="0"/>
        <w:pageBreakBefore w:val="0"/>
        <w:tabs>
          <w:tab w:val="left" w:pos="4680"/>
        </w:tabs>
        <w:wordWrap/>
        <w:overflowPunct/>
        <w:topLinePunct w:val="0"/>
        <w:bidi w:val="0"/>
        <w:spacing w:line="52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 xml:space="preserve">（一）符合下列条件之一的，可采用竞争性谈判方式采购： </w:t>
      </w:r>
    </w:p>
    <w:p w14:paraId="7CBE820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1.采购标的物技术复杂或性质特殊，采购方不能准确提出采购需求，需与供应商谈判后研究确定； </w:t>
      </w:r>
    </w:p>
    <w:p w14:paraId="338FD63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2.采购需求明确，但有多种实施方案可供选择，采购人需通过与供应商谈判确定实施方案； </w:t>
      </w:r>
    </w:p>
    <w:p w14:paraId="301A878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3.市场供应资源缺乏，符合资格条件供应商只有 2 </w:t>
      </w:r>
      <w:r>
        <w:rPr>
          <w:rFonts w:hint="eastAsia" w:ascii="仿宋_GB2312" w:hAnsi="仿宋_GB2312" w:eastAsia="仿宋_GB2312" w:cs="Arial"/>
          <w:kern w:val="0"/>
          <w:sz w:val="32"/>
          <w:szCs w:val="32"/>
        </w:rPr>
        <w:t xml:space="preserve">家； </w:t>
      </w:r>
    </w:p>
    <w:p w14:paraId="04CEF83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4.采购由供需双方以联合研发、共担风险模式形成的原创性商品或服务。满足合格条件的潜在供应商只有 2 </w:t>
      </w:r>
      <w:r>
        <w:rPr>
          <w:rFonts w:hint="eastAsia" w:ascii="仿宋_GB2312" w:hAnsi="仿宋_GB2312" w:eastAsia="仿宋_GB2312" w:cs="Arial"/>
          <w:kern w:val="0"/>
          <w:sz w:val="32"/>
          <w:szCs w:val="32"/>
          <w:lang w:eastAsia="zh-CN"/>
        </w:rPr>
        <w:t>家</w:t>
      </w:r>
      <w:r>
        <w:rPr>
          <w:rFonts w:hint="eastAsia" w:ascii="仿宋_GB2312" w:hAnsi="仿宋_GB2312" w:eastAsia="仿宋_GB2312" w:cs="Arial"/>
          <w:kern w:val="0"/>
          <w:sz w:val="32"/>
          <w:szCs w:val="32"/>
        </w:rPr>
        <w:t xml:space="preserve">； </w:t>
      </w:r>
    </w:p>
    <w:p w14:paraId="13149D6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5.国家或公司规定的其他情形。</w:t>
      </w:r>
    </w:p>
    <w:p w14:paraId="18E799A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（二）编制采购文件。</w:t>
      </w:r>
      <w:r>
        <w:rPr>
          <w:rFonts w:hint="eastAsia" w:ascii="仿宋_GB2312" w:hAnsi="仿宋_GB2312" w:eastAsia="仿宋_GB2312" w:cs="Arial"/>
          <w:kern w:val="0"/>
          <w:sz w:val="32"/>
          <w:szCs w:val="32"/>
        </w:rPr>
        <w:t>由销售采购部编制竞争谈判采购文件。谈判文件应当明确谈判程序、采购内容、合同条款及格式以及评定成交的标准等事项。</w:t>
      </w:r>
    </w:p>
    <w:p w14:paraId="07FEE46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（三）发布公告。</w:t>
      </w:r>
      <w:r>
        <w:rPr>
          <w:rFonts w:hint="eastAsia" w:ascii="仿宋_GB2312" w:hAnsi="仿宋_GB2312" w:eastAsia="仿宋_GB2312" w:cs="Arial"/>
          <w:kern w:val="0"/>
          <w:sz w:val="32"/>
          <w:szCs w:val="32"/>
        </w:rPr>
        <w:t>谈判文件通过“优质采”平台发出，从谈判公告及采购文件发出之日起至供应商提交首次响应文件截止之日止，一般不得少于3日，需到现场测量、技术咨询的，不低于5个工作日（遇节假日顺延）。</w:t>
      </w:r>
    </w:p>
    <w:p w14:paraId="588D0E7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（四）组织评审小组。</w:t>
      </w:r>
      <w:r>
        <w:rPr>
          <w:rFonts w:hint="eastAsia" w:ascii="仿宋_GB2312" w:hAnsi="仿宋_GB2312" w:eastAsia="仿宋_GB2312" w:cs="Arial"/>
          <w:kern w:val="0"/>
          <w:sz w:val="32"/>
          <w:szCs w:val="32"/>
        </w:rPr>
        <w:t>由销售采购部组织3人或3人以上的单数组成评审人员。</w:t>
      </w:r>
    </w:p>
    <w:p w14:paraId="3671F82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1.初步评审。谈判小组根据采购文件规定的程序、评定成交的标准等事项对供应商资格进行审查</w:t>
      </w:r>
      <w:r>
        <w:rPr>
          <w:rFonts w:hint="eastAsia" w:ascii="仿宋_GB2312" w:hAnsi="仿宋_GB2312" w:eastAsia="仿宋_GB2312" w:cs="Arial"/>
          <w:kern w:val="0"/>
          <w:sz w:val="32"/>
          <w:szCs w:val="32"/>
          <w:lang w:eastAsia="zh-CN"/>
        </w:rPr>
        <w:t>、对</w:t>
      </w:r>
      <w:r>
        <w:rPr>
          <w:rFonts w:hint="eastAsia" w:ascii="仿宋_GB2312" w:hAnsi="仿宋_GB2312" w:eastAsia="仿宋_GB2312" w:cs="Arial"/>
          <w:kern w:val="0"/>
          <w:sz w:val="32"/>
          <w:szCs w:val="32"/>
        </w:rPr>
        <w:t xml:space="preserve">响应文件的响应性进行评审。 </w:t>
      </w:r>
    </w:p>
    <w:p w14:paraId="4D48C33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2.谈判。谈判小组与所有通过初步审查</w:t>
      </w:r>
      <w:r>
        <w:rPr>
          <w:rFonts w:hint="eastAsia" w:ascii="仿宋_GB2312" w:hAnsi="仿宋_GB2312" w:eastAsia="仿宋_GB2312" w:cs="Arial"/>
          <w:kern w:val="0"/>
          <w:sz w:val="32"/>
          <w:szCs w:val="32"/>
          <w:lang w:eastAsia="zh-CN"/>
        </w:rPr>
        <w:t>并</w:t>
      </w:r>
      <w:r>
        <w:rPr>
          <w:rFonts w:hint="eastAsia" w:ascii="仿宋_GB2312" w:hAnsi="仿宋_GB2312" w:eastAsia="仿宋_GB2312" w:cs="Arial"/>
          <w:kern w:val="0"/>
          <w:sz w:val="32"/>
          <w:szCs w:val="32"/>
        </w:rPr>
        <w:t xml:space="preserve">实质性响应采购文件要求的供应商逐一进行谈判。 </w:t>
      </w:r>
    </w:p>
    <w:p w14:paraId="7B76A5F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3.谈判结束后，谈判小组应当要求所有参加谈判的供应商在规定时间内提交最后报价或最终方案。 </w:t>
      </w:r>
    </w:p>
    <w:p w14:paraId="11C903E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4.推荐候选成交供应商。谈判小组根据采购文件要求和评审标准，对供应商最后报价或最终方案情况进行评审排序，推荐候选成交供应商。 </w:t>
      </w:r>
    </w:p>
    <w:p w14:paraId="67A706A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5.编写评审报告。谈判小组根据谈判情况和评审结果编写评审采购报告。采购报告应经谈判小组全体成员签字。</w:t>
      </w:r>
    </w:p>
    <w:p w14:paraId="0DB8650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（五）确定成交供应商。</w:t>
      </w:r>
      <w:r>
        <w:rPr>
          <w:rFonts w:hint="eastAsia" w:ascii="仿宋_GB2312" w:hAnsi="仿宋_GB2312" w:eastAsia="仿宋_GB2312" w:cs="Arial"/>
          <w:kern w:val="0"/>
          <w:sz w:val="32"/>
          <w:szCs w:val="32"/>
        </w:rPr>
        <w:t>按照采购文件规定公示成交候选供应商。</w:t>
      </w:r>
      <w:r>
        <w:rPr>
          <w:rFonts w:hint="eastAsia" w:ascii="仿宋_GB2312" w:hAnsi="仿宋_GB2312" w:eastAsia="仿宋_GB2312" w:cs="Arial"/>
          <w:kern w:val="0"/>
          <w:sz w:val="32"/>
          <w:szCs w:val="32"/>
        </w:rPr>
        <w:t>在响应文件有效期内向成交供应商发出成交通知书，并将结果通知所有参加谈判的未成交供应商。</w:t>
      </w:r>
    </w:p>
    <w:p w14:paraId="7607B3B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（六）谈判失败处理流程。</w:t>
      </w:r>
      <w:r>
        <w:rPr>
          <w:rFonts w:hint="eastAsia" w:ascii="仿宋_GB2312" w:hAnsi="仿宋_GB2312" w:eastAsia="仿宋_GB2312" w:cs="Arial"/>
          <w:kern w:val="0"/>
          <w:sz w:val="32"/>
          <w:szCs w:val="32"/>
        </w:rPr>
        <w:t>提交响应文件或最后报价的供应商只有1</w:t>
      </w:r>
      <w:r>
        <w:rPr>
          <w:rFonts w:hint="eastAsia" w:ascii="仿宋_GB2312" w:hAnsi="仿宋_GB2312" w:eastAsia="仿宋_GB2312" w:cs="Arial"/>
          <w:kern w:val="0"/>
          <w:sz w:val="32"/>
          <w:szCs w:val="32"/>
        </w:rPr>
        <w:t>家时，终止采购活动，经采购单位履行采购方式转换审批程序后，实施单一来源方式采购；也可以采取相应完善措施，重新组织采购。</w:t>
      </w:r>
    </w:p>
    <w:p w14:paraId="2087A52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第十五条</w:t>
      </w:r>
      <w:r>
        <w:rPr>
          <w:rFonts w:hint="eastAsia" w:ascii="仿宋_GB2312" w:hAnsi="仿宋_GB2312" w:eastAsia="仿宋_GB2312" w:cs="Arial"/>
          <w:kern w:val="0"/>
          <w:sz w:val="32"/>
          <w:szCs w:val="32"/>
        </w:rPr>
        <w:t xml:space="preserve"> 单一来源采购应按照以下程序进行：</w:t>
      </w:r>
    </w:p>
    <w:p w14:paraId="0ED822F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楷体_GB2312" w:hAnsi="楷体_GB2312" w:eastAsia="楷体_GB2312" w:cs="楷体_GB2312"/>
          <w:kern w:val="0"/>
          <w:sz w:val="32"/>
          <w:szCs w:val="32"/>
        </w:rPr>
        <w:t xml:space="preserve">（一）符合下列条件之一的，可采用单一来源采购方式： </w:t>
      </w:r>
    </w:p>
    <w:p w14:paraId="14C2F88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1.因抢险救灾、事故抢修等不可预见的特殊情况需要紧急采购； </w:t>
      </w:r>
    </w:p>
    <w:p w14:paraId="16C480B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2.需采用不可替代的专利或者专有技术； </w:t>
      </w:r>
    </w:p>
    <w:p w14:paraId="0B8A14F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3.原采购的后续维修、零配件供应、更换或扩充，需向原供应商采购，否则将影响施工或者功能配套要求； </w:t>
      </w:r>
    </w:p>
    <w:p w14:paraId="4B531B9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4.因必须保证与原采购项目一致性或者服务配套要求，需要继续从原供应商处添购的； </w:t>
      </w:r>
    </w:p>
    <w:p w14:paraId="4E55BA0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5.有效供应商有且仅有1家； </w:t>
      </w:r>
    </w:p>
    <w:p w14:paraId="49CF9B4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 xml:space="preserve">6.采购标的只能从某供应商获得，或者某供应商拥有与采购标的相关的专属权，不存在其他合理选择或替代物，也不可能使用其他任何采购方式的； </w:t>
      </w:r>
    </w:p>
    <w:p w14:paraId="3C83E33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7.</w:t>
      </w:r>
      <w:r>
        <w:rPr>
          <w:rFonts w:hint="eastAsia" w:ascii="仿宋_GB2312" w:hAnsi="仿宋_GB2312" w:eastAsia="仿宋_GB2312" w:cs="Arial"/>
          <w:kern w:val="0"/>
          <w:sz w:val="32"/>
          <w:szCs w:val="32"/>
        </w:rPr>
        <w:t>销售采购部根据材料需求计划审核会意见，对单一来源采购，可以直接向设备制造单位进行采购，由相关分管领导在定价上签字确认；</w:t>
      </w:r>
    </w:p>
    <w:p w14:paraId="2AB1276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8.计划外物资申请需单一来源采购的，均应在采购前由使用部门提出申请，经分管领导、总经理批准后方可实行单一来源采购方式。</w:t>
      </w:r>
    </w:p>
    <w:p w14:paraId="694058A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第十六条</w:t>
      </w:r>
      <w:r>
        <w:rPr>
          <w:rFonts w:hint="eastAsia" w:ascii="仿宋_GB2312" w:hAnsi="仿宋_GB2312" w:eastAsia="仿宋_GB2312" w:cs="Arial"/>
          <w:kern w:val="0"/>
          <w:sz w:val="32"/>
          <w:szCs w:val="32"/>
        </w:rPr>
        <w:t xml:space="preserve"> 电子商城采购指对部分通用性较强、高频次、重复性采购的物资，按照集团公司相关规定在优质采皖煤商城进行采购，不足情况下可以从淘宝、京东等主流电子商城的比价采购。</w:t>
      </w:r>
    </w:p>
    <w:p w14:paraId="6495E32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第十七条</w:t>
      </w:r>
      <w:r>
        <w:rPr>
          <w:rFonts w:hint="eastAsia" w:ascii="仿宋_GB2312" w:hAnsi="仿宋_GB2312" w:eastAsia="仿宋_GB2312" w:cs="Arial"/>
          <w:kern w:val="0"/>
          <w:sz w:val="32"/>
          <w:szCs w:val="32"/>
        </w:rPr>
        <w:t xml:space="preserve"> 物资采购质量管控</w:t>
      </w:r>
    </w:p>
    <w:p w14:paraId="6537F28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（一）各部门应严格依据国家或行业相关标准规定，结合现场实际，合理确定产品的质量要求。</w:t>
      </w:r>
    </w:p>
    <w:p w14:paraId="2E60416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（二）采购询价文件、采购合同等文件中，应明确质量技术要求、质量验收标准、质量保证金，以及质量违约、质量事故索赔等条款。</w:t>
      </w:r>
    </w:p>
    <w:p w14:paraId="373DD53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（三）设备及备品配件的质检工作由使用部门组织相关技术人员，根据国家标准、产品合格证、材质证明书、图纸要求等进行验收。对现场无法验收的设备要在安装时或投运后跟踪验收。</w:t>
      </w:r>
    </w:p>
    <w:p w14:paraId="5A29FA1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四</w:t>
      </w:r>
      <w:r>
        <w:rPr>
          <w:rFonts w:hint="eastAsia" w:ascii="仿宋_GB2312" w:hAnsi="仿宋_GB2312" w:eastAsia="仿宋_GB2312" w:cs="Arial"/>
          <w:kern w:val="0"/>
          <w:sz w:val="32"/>
          <w:szCs w:val="32"/>
        </w:rPr>
        <w:t>）对其他零星、低值、易耗</w:t>
      </w:r>
      <w:r>
        <w:rPr>
          <w:rFonts w:hint="eastAsia" w:ascii="仿宋_GB2312" w:hAnsi="仿宋_GB2312" w:eastAsia="仿宋_GB2312" w:cs="Arial"/>
          <w:kern w:val="0"/>
          <w:sz w:val="32"/>
          <w:szCs w:val="32"/>
          <w:lang w:eastAsia="zh-CN"/>
        </w:rPr>
        <w:t>物资</w:t>
      </w:r>
      <w:r>
        <w:rPr>
          <w:rFonts w:hint="eastAsia" w:ascii="仿宋_GB2312" w:hAnsi="仿宋_GB2312" w:eastAsia="仿宋_GB2312" w:cs="Arial"/>
          <w:kern w:val="0"/>
          <w:sz w:val="32"/>
          <w:szCs w:val="32"/>
        </w:rPr>
        <w:t>验收人员均应按照相关要求核查，确保资证齐全。</w:t>
      </w:r>
    </w:p>
    <w:p w14:paraId="176B62E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五</w:t>
      </w:r>
      <w:r>
        <w:rPr>
          <w:rFonts w:hint="eastAsia" w:ascii="仿宋_GB2312" w:hAnsi="仿宋_GB2312" w:eastAsia="仿宋_GB2312" w:cs="Arial"/>
          <w:kern w:val="0"/>
          <w:sz w:val="32"/>
          <w:szCs w:val="32"/>
        </w:rPr>
        <w:t>）建立《物资采购质量情况反馈单》制度。使用单位若发现领用的物资存在质量问题，应填写《物资采购质量情况反馈单》，报送销售采购部按制度进行处理。</w:t>
      </w:r>
    </w:p>
    <w:p w14:paraId="0DBCF92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六</w:t>
      </w:r>
      <w:r>
        <w:rPr>
          <w:rFonts w:hint="eastAsia" w:ascii="仿宋_GB2312" w:hAnsi="仿宋_GB2312" w:eastAsia="仿宋_GB2312" w:cs="Arial"/>
          <w:kern w:val="0"/>
          <w:sz w:val="32"/>
          <w:szCs w:val="32"/>
        </w:rPr>
        <w:t>）采购物资质量问题一经确定，由销售采购部负责与供货商交涉，立即办理修复、更换、增补及索赔事宜。造成我公司损失的，按公司相关责任追究处罚。</w:t>
      </w:r>
    </w:p>
    <w:p w14:paraId="25AF157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第十八条 物资采购合同签订、归档</w:t>
      </w:r>
    </w:p>
    <w:p w14:paraId="48D7A7A9">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（一）合同应在采购文件规定的响应有效期内以及中标或成交通知书发出之日起30日内签订。</w:t>
      </w:r>
    </w:p>
    <w:p w14:paraId="1447DD0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（二）采购合同的条款要符合《中华人民共和国民法典》的相关要求，标的物的规格型号、数量和验</w:t>
      </w:r>
      <w:r>
        <w:rPr>
          <w:rFonts w:hint="eastAsia" w:ascii="仿宋_GB2312" w:hAnsi="仿宋_GB2312" w:eastAsia="仿宋_GB2312" w:cs="Arial"/>
          <w:kern w:val="0"/>
          <w:sz w:val="32"/>
          <w:szCs w:val="32"/>
        </w:rPr>
        <w:t>收要求必须在合同内完整体现。</w:t>
      </w:r>
    </w:p>
    <w:p w14:paraId="23F73F3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（三）销售采购部在订立物资采购合同时，原则上应货到后付款。如确需预付款的，必须报公司分管领导审核</w:t>
      </w:r>
      <w:r>
        <w:rPr>
          <w:rFonts w:hint="eastAsia" w:ascii="仿宋_GB2312" w:hAnsi="仿宋_GB2312" w:eastAsia="仿宋_GB2312" w:cs="Arial"/>
          <w:kern w:val="0"/>
          <w:sz w:val="32"/>
          <w:szCs w:val="32"/>
          <w:lang w:eastAsia="zh-CN"/>
        </w:rPr>
        <w:t>，经</w:t>
      </w:r>
      <w:r>
        <w:rPr>
          <w:rFonts w:hint="eastAsia" w:ascii="仿宋_GB2312" w:hAnsi="仿宋_GB2312" w:eastAsia="仿宋_GB2312" w:cs="Arial"/>
          <w:kern w:val="0"/>
          <w:sz w:val="32"/>
          <w:szCs w:val="32"/>
        </w:rPr>
        <w:t>总经理批准，预付款一般情况下不超过合同总额30%。</w:t>
      </w:r>
    </w:p>
    <w:p w14:paraId="5F4018F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（四）订立大型设备、阀门、管件等物资的采购合同时，应包括质保金条款，质保金数额不得低于货款的10％，特殊情况不低于5％。</w:t>
      </w:r>
    </w:p>
    <w:p w14:paraId="390B61C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（五）销售采购部应完整、准确、及时归档采购档案。采用电子采购平台采购的项目，应当将采购资料进行电子归档和纸质档案。</w:t>
      </w:r>
    </w:p>
    <w:p w14:paraId="04B1D34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第十九条 下列情况视为违规或违法行为：</w:t>
      </w:r>
    </w:p>
    <w:p w14:paraId="3503EE9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（一）未经批准流程，私自计划外采购物资的；</w:t>
      </w:r>
    </w:p>
    <w:p w14:paraId="72E3EFF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（二）未经公司定价流程，私自确定供应单位和采购价格的；</w:t>
      </w:r>
    </w:p>
    <w:p w14:paraId="2D7AA96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（三）未按公司合同管理规定流程签订合同的；</w:t>
      </w:r>
    </w:p>
    <w:p w14:paraId="55C1D53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（四）私自收受回扣和贿赂的；</w:t>
      </w:r>
    </w:p>
    <w:p w14:paraId="081DA86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（五）泄露公司采购物资价格机密，给公司造成损失的；</w:t>
      </w:r>
    </w:p>
    <w:p w14:paraId="74D22FD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（六）用料单位对所报采购物资不领用造成经济损失的；</w:t>
      </w:r>
    </w:p>
    <w:p w14:paraId="3E821C5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（七）货款支付中给公司造成资金损失的。</w:t>
      </w:r>
    </w:p>
    <w:p w14:paraId="2085987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第二十条</w:t>
      </w:r>
      <w:r>
        <w:rPr>
          <w:rFonts w:hint="eastAsia" w:ascii="仿宋_GB2312" w:hAnsi="仿宋_GB2312" w:eastAsia="仿宋_GB2312" w:cs="Arial"/>
          <w:kern w:val="0"/>
          <w:sz w:val="32"/>
          <w:szCs w:val="32"/>
          <w:lang w:val="en-US" w:eastAsia="zh-CN"/>
        </w:rPr>
        <w:t xml:space="preserve"> </w:t>
      </w:r>
      <w:r>
        <w:rPr>
          <w:rFonts w:hint="eastAsia" w:ascii="仿宋_GB2312" w:hAnsi="仿宋_GB2312" w:eastAsia="仿宋_GB2312" w:cs="Arial"/>
          <w:kern w:val="0"/>
          <w:sz w:val="32"/>
          <w:szCs w:val="32"/>
        </w:rPr>
        <w:t>对有前条行为之一的，公司将视情节轻重，给予下列处罚：</w:t>
      </w:r>
    </w:p>
    <w:p w14:paraId="4036A77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（一）造成经济损失的，赔偿损失；</w:t>
      </w:r>
    </w:p>
    <w:p w14:paraId="0BC2FD0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（二）有非法所得的，责令其将非法所得上缴公司财务；</w:t>
      </w:r>
    </w:p>
    <w:p w14:paraId="527116D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（三）对直接责任人员和部门主要负责人给予经济处罚或行政处分。情节严重的，移交司法机关追究刑事责任；</w:t>
      </w:r>
    </w:p>
    <w:p w14:paraId="43F4F21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（四）以上处罚可以并处。</w:t>
      </w:r>
    </w:p>
    <w:p w14:paraId="26F9351A">
      <w:pPr>
        <w:keepNext w:val="0"/>
        <w:keepLines w:val="0"/>
        <w:pageBreakBefore w:val="0"/>
        <w:tabs>
          <w:tab w:val="left" w:pos="4680"/>
        </w:tabs>
        <w:wordWrap/>
        <w:overflowPunct/>
        <w:topLinePunct w:val="0"/>
        <w:bidi w:val="0"/>
        <w:spacing w:line="520" w:lineRule="exact"/>
        <w:ind w:firstLine="640" w:firstLineChars="200"/>
        <w:jc w:val="center"/>
        <w:rPr>
          <w:rFonts w:hint="eastAsia" w:ascii="黑体" w:hAnsi="黑体" w:eastAsia="黑体" w:cs="黑体"/>
          <w:kern w:val="0"/>
          <w:sz w:val="32"/>
          <w:szCs w:val="32"/>
        </w:rPr>
      </w:pPr>
      <w:r>
        <w:rPr>
          <w:rFonts w:hint="eastAsia" w:ascii="黑体" w:hAnsi="黑体" w:eastAsia="黑体" w:cs="黑体"/>
          <w:kern w:val="0"/>
          <w:sz w:val="32"/>
          <w:szCs w:val="32"/>
        </w:rPr>
        <w:t>第五章</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物资验收管理</w:t>
      </w:r>
    </w:p>
    <w:p w14:paraId="4176F5D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第二十一条 验收成员由销售采购部采购员、库管员、使用车间、生产技术部、设备管理部等相关人员组成，验收办公室设在销售采购部，负责联系卸货、通知验收人员等物资验收日常工作。</w:t>
      </w:r>
    </w:p>
    <w:p w14:paraId="0BC3342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第二十二条 物资验收方式</w:t>
      </w:r>
    </w:p>
    <w:p w14:paraId="5AB52C6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坚持“谁验收、谁负责”的原则，建立健全物资质量验收责任制。</w:t>
      </w:r>
    </w:p>
    <w:p w14:paraId="7374B8D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（一）配件、药剂、电气、仪表、工艺、劳保以及车间专用等物资到货后，由采购人员、仓库人员、使用单位分项、分类别、分使用单位或管理单位联合共同验收制度。</w:t>
      </w:r>
    </w:p>
    <w:p w14:paraId="5FE3F90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（二）所有物资一律执行到货后验收，明确验收结论，合格的给予入库，及时办理验收手续，不合格的仓库一律拒收。仓库保管员须及时如实填写物资到货记录。</w:t>
      </w:r>
    </w:p>
    <w:p w14:paraId="47D4809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第二十三条</w:t>
      </w:r>
      <w:r>
        <w:rPr>
          <w:rFonts w:hint="eastAsia" w:ascii="仿宋_GB2312" w:hAnsi="仿宋_GB2312" w:eastAsia="仿宋_GB2312" w:cs="Arial"/>
          <w:kern w:val="0"/>
          <w:sz w:val="32"/>
          <w:szCs w:val="32"/>
        </w:rPr>
        <w:t xml:space="preserve"> 物资验收时限</w:t>
      </w:r>
    </w:p>
    <w:p w14:paraId="3E5609E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（一）物资到货后须及时验收，由销售采购部采购业务员组织相关人员对到货物资进行共同验收；若验收小组人员因特殊原因无法到达现场，由所属部门安排替补人员到场验收，保证验收手续能够及时履行。</w:t>
      </w:r>
    </w:p>
    <w:p w14:paraId="05C6D61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原则上一般物资验收时限为1个工作日，大宗物资验收时限为2个工作日。验收合格后，仓库保管员要在2个工作日内办理入库。因入库前需强制检验或有异议需核实等原因不能及时办理验收入库的，待检测合格或核实相关异议后及时办理验收入库。</w:t>
      </w:r>
    </w:p>
    <w:p w14:paraId="380FC47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第二十四条 物资验收的要求</w:t>
      </w:r>
    </w:p>
    <w:p w14:paraId="4FEFCA3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验收人员依据采购订单，按照合同、技术协议（规格书）中规定的型号、质量及配置等要求，查验实物外观、配置、品牌及参数是否完整、检验报告、质量证明书、资证及有效期、尺寸（重量）等，及时办理验收手续。使用部门对检验报告、质量证明书、安全标志、其他资证等验收资料存档。</w:t>
      </w:r>
    </w:p>
    <w:p w14:paraId="3D2E5FE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对于涉及工业产品生产许可证、特种设备制造许可证、制造计量器具许可证、特种劳动防护用品安全标志证书、危险化学品安全生产许可证、危险化学品经营许可证等资证的，要求供应商提供加盖公章的书面资证复印件，验收时要优先查看验收，资证不齐全不得继续验收。</w:t>
      </w:r>
    </w:p>
    <w:p w14:paraId="3722D1C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对于入库前须强检及检测的物资，采购及使用单位验收人员要在入库前按规定取样、封样、送样流程，送有资质的检测检验机构进行检测检验，检测检验合格后办理入库手续，保管员建立强检及检测物资台账，对检测检验报告存档。</w:t>
      </w:r>
    </w:p>
    <w:p w14:paraId="4DD782F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（四）对于直达使用现场的物资，需到现场验收；对于未见实物或未经验收或验收未通过而直接交付使用现场的物资，不得擅自办理验收手续。</w:t>
      </w:r>
    </w:p>
    <w:p w14:paraId="5FC8CB6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（五）验收入库的时间节点以物资到公司为准，验收人员不得未到货先办理验收手续。</w:t>
      </w:r>
    </w:p>
    <w:p w14:paraId="352FD75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（六）对于出现明显质量问题或与相关</w:t>
      </w:r>
      <w:r>
        <w:rPr>
          <w:rFonts w:hint="eastAsia" w:ascii="仿宋_GB2312" w:hAnsi="仿宋_GB2312" w:eastAsia="仿宋_GB2312" w:cs="Arial"/>
          <w:kern w:val="0"/>
          <w:sz w:val="32"/>
          <w:szCs w:val="32"/>
          <w:lang w:eastAsia="zh-CN"/>
        </w:rPr>
        <w:t>资质</w:t>
      </w:r>
      <w:r>
        <w:rPr>
          <w:rFonts w:hint="eastAsia" w:ascii="仿宋_GB2312" w:hAnsi="仿宋_GB2312" w:eastAsia="仿宋_GB2312" w:cs="Arial"/>
          <w:kern w:val="0"/>
          <w:sz w:val="32"/>
          <w:szCs w:val="32"/>
        </w:rPr>
        <w:t>、技术要求不符的物资，验收人员可直接做出拒收处理</w:t>
      </w:r>
      <w:r>
        <w:rPr>
          <w:rFonts w:hint="eastAsia" w:ascii="仿宋_GB2312" w:hAnsi="仿宋_GB2312" w:eastAsia="仿宋_GB2312" w:cs="Arial"/>
          <w:kern w:val="0"/>
          <w:sz w:val="32"/>
          <w:szCs w:val="32"/>
          <w:lang w:eastAsia="zh-CN"/>
        </w:rPr>
        <w:t>，由</w:t>
      </w:r>
      <w:r>
        <w:rPr>
          <w:rFonts w:hint="eastAsia" w:ascii="仿宋_GB2312" w:hAnsi="仿宋_GB2312" w:eastAsia="仿宋_GB2312" w:cs="Arial"/>
          <w:kern w:val="0"/>
          <w:sz w:val="32"/>
          <w:szCs w:val="32"/>
        </w:rPr>
        <w:t>销售采购部联系供应商做退货处置，并纳入供应商诚信体系档案。</w:t>
      </w:r>
    </w:p>
    <w:p w14:paraId="0764921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七）对于重要的、技术性较强的物资到货验收，验收时有疑问的，可以申请相关技术主管部门、公司相关部门参加，进行联合验收，需要供应商参与验收的，销售采购部联系供应商现场参与验收，确保验收物资合格。</w:t>
      </w:r>
    </w:p>
    <w:p w14:paraId="3845A81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八）对于实际到货物资数量超出采购订单数量的，超出部分原则上不予办理验收手续。因特殊原因超量的，在超量限定范围内，须经公司领导同意后，方可办理验收手续，按实际数量结算，并在验收记录上注明。</w:t>
      </w:r>
    </w:p>
    <w:p w14:paraId="634E607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（九）社会物流所送物资，无供应商等相关信息的，仓库保管员及时通知销售采购部，销售采购部联系相关业务人员，获取相关信息后立即与其他验收人员一起按规定验收。</w:t>
      </w:r>
    </w:p>
    <w:p w14:paraId="50D83EA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十</w:t>
      </w: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rPr>
        <w:t>采购物资的质量、价格、数量问题，由销售采购部负责牵头组织处理；存在重大分歧和异议的，视情况上报公司主要领导或提交经理办公会审议</w:t>
      </w:r>
      <w:r>
        <w:rPr>
          <w:rFonts w:hint="eastAsia" w:ascii="仿宋_GB2312" w:hAnsi="仿宋_GB2312" w:eastAsia="仿宋_GB2312" w:cs="Arial"/>
          <w:kern w:val="0"/>
          <w:sz w:val="32"/>
          <w:szCs w:val="32"/>
        </w:rPr>
        <w:t>协助处理。</w:t>
      </w:r>
    </w:p>
    <w:p w14:paraId="12E7683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第二十五条</w:t>
      </w:r>
      <w:r>
        <w:rPr>
          <w:rFonts w:hint="eastAsia" w:ascii="仿宋_GB2312" w:hAnsi="仿宋_GB2312" w:eastAsia="仿宋_GB2312" w:cs="Arial"/>
          <w:kern w:val="0"/>
          <w:sz w:val="32"/>
          <w:szCs w:val="32"/>
        </w:rPr>
        <w:t xml:space="preserve"> 物资验收责任追究</w:t>
      </w:r>
    </w:p>
    <w:p w14:paraId="529551D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发生下列情形之一的，视情节轻重，扣除相关责任人50-500元绩效工资，造成问题的追究相关责任。</w:t>
      </w:r>
    </w:p>
    <w:p w14:paraId="45712209">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w:t>
      </w:r>
      <w:r>
        <w:rPr>
          <w:rFonts w:hint="eastAsia" w:ascii="仿宋_GB2312" w:hAnsi="仿宋_GB2312" w:eastAsia="仿宋_GB2312" w:cs="Arial"/>
          <w:kern w:val="0"/>
          <w:sz w:val="32"/>
          <w:szCs w:val="32"/>
        </w:rPr>
        <w:t>采购物资到货后未及时进行验收的，超出验收时限的，考核相关人员50元/次。</w:t>
      </w:r>
    </w:p>
    <w:p w14:paraId="20337BF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（二）验收人员无正当理由未能及时到达验收</w:t>
      </w:r>
      <w:r>
        <w:rPr>
          <w:rFonts w:hint="eastAsia" w:ascii="仿宋_GB2312" w:hAnsi="仿宋_GB2312" w:eastAsia="仿宋_GB2312" w:cs="Arial"/>
          <w:kern w:val="0"/>
          <w:sz w:val="32"/>
          <w:szCs w:val="32"/>
          <w:lang w:eastAsia="zh-CN"/>
        </w:rPr>
        <w:t>现场</w:t>
      </w:r>
      <w:r>
        <w:rPr>
          <w:rFonts w:hint="eastAsia" w:ascii="仿宋_GB2312" w:hAnsi="仿宋_GB2312" w:eastAsia="仿宋_GB2312" w:cs="Arial"/>
          <w:kern w:val="0"/>
          <w:sz w:val="32"/>
          <w:szCs w:val="32"/>
        </w:rPr>
        <w:t>或故意拖延验收时间的，</w:t>
      </w:r>
      <w:r>
        <w:rPr>
          <w:rFonts w:hint="eastAsia" w:ascii="仿宋_GB2312" w:hAnsi="仿宋_GB2312" w:eastAsia="仿宋_GB2312" w:cs="Arial"/>
          <w:kern w:val="0"/>
          <w:sz w:val="32"/>
          <w:szCs w:val="32"/>
        </w:rPr>
        <w:t>考核200元/次。</w:t>
      </w:r>
    </w:p>
    <w:p w14:paraId="7226FA7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（三）超出采购订单数量的物资，未经批准给予办理验收手续的，</w:t>
      </w:r>
      <w:r>
        <w:rPr>
          <w:rFonts w:hint="eastAsia" w:ascii="仿宋_GB2312" w:hAnsi="仿宋_GB2312" w:eastAsia="仿宋_GB2312" w:cs="Arial"/>
          <w:kern w:val="0"/>
          <w:sz w:val="32"/>
          <w:szCs w:val="32"/>
        </w:rPr>
        <w:t>考核相关人员300元/次。</w:t>
      </w:r>
    </w:p>
    <w:p w14:paraId="683D1EB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（四）其他违反验收相关规定的，根据情况进行处罚，情节严重的</w:t>
      </w:r>
      <w:r>
        <w:rPr>
          <w:rFonts w:hint="eastAsia" w:ascii="仿宋_GB2312" w:hAnsi="仿宋_GB2312" w:eastAsia="仿宋_GB2312" w:cs="Arial"/>
          <w:kern w:val="0"/>
          <w:sz w:val="32"/>
          <w:szCs w:val="32"/>
        </w:rPr>
        <w:t>由公司纪委追责。</w:t>
      </w:r>
    </w:p>
    <w:p w14:paraId="0BD01F10">
      <w:pPr>
        <w:keepNext w:val="0"/>
        <w:keepLines w:val="0"/>
        <w:pageBreakBefore w:val="0"/>
        <w:tabs>
          <w:tab w:val="left" w:pos="4680"/>
        </w:tabs>
        <w:wordWrap/>
        <w:overflowPunct/>
        <w:topLinePunct w:val="0"/>
        <w:bidi w:val="0"/>
        <w:spacing w:line="520" w:lineRule="exact"/>
        <w:ind w:firstLine="640" w:firstLineChars="200"/>
        <w:jc w:val="center"/>
        <w:rPr>
          <w:rFonts w:hint="eastAsia" w:ascii="黑体" w:hAnsi="黑体" w:eastAsia="黑体" w:cs="黑体"/>
          <w:kern w:val="0"/>
          <w:sz w:val="32"/>
          <w:szCs w:val="32"/>
        </w:rPr>
      </w:pPr>
      <w:r>
        <w:rPr>
          <w:rFonts w:hint="eastAsia" w:ascii="黑体" w:hAnsi="黑体" w:eastAsia="黑体" w:cs="黑体"/>
          <w:kern w:val="0"/>
          <w:sz w:val="32"/>
          <w:szCs w:val="32"/>
        </w:rPr>
        <w:t>第六章</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仓库物资管理</w:t>
      </w:r>
    </w:p>
    <w:p w14:paraId="4A444E5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第二十六条</w:t>
      </w:r>
      <w:r>
        <w:rPr>
          <w:rFonts w:hint="eastAsia" w:ascii="仿宋_GB2312" w:hAnsi="仿宋_GB2312" w:eastAsia="仿宋_GB2312" w:cs="Arial"/>
          <w:kern w:val="0"/>
          <w:sz w:val="32"/>
          <w:szCs w:val="32"/>
        </w:rPr>
        <w:t xml:space="preserve"> 仓库标识管理</w:t>
      </w:r>
    </w:p>
    <w:p w14:paraId="397EAC9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（一）库区的布局必须做到全面规划，因地因物制宜。按使用功能划分库内区域，以方便物资的收发操作和盘点。</w:t>
      </w:r>
    </w:p>
    <w:p w14:paraId="4BB0B550">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（二）仓库布局要合理，图牌配备要齐全，做到库区有编号、架位有标牌。设置待验收区。对存在问题不能及时验收入库的物资，一律存放在待验收区。</w:t>
      </w:r>
    </w:p>
    <w:p w14:paraId="55289354">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三</w:t>
      </w:r>
      <w:r>
        <w:rPr>
          <w:rFonts w:hint="eastAsia" w:ascii="仿宋_GB2312" w:hAnsi="仿宋_GB2312" w:eastAsia="仿宋_GB2312" w:cs="Arial"/>
          <w:kern w:val="0"/>
          <w:sz w:val="32"/>
          <w:szCs w:val="32"/>
        </w:rPr>
        <w:t>）库管员应结合库房示意图和物资编码，对物资分区分类摆放，严禁对入库物资随意摆放。</w:t>
      </w:r>
    </w:p>
    <w:p w14:paraId="10A8F27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四</w:t>
      </w:r>
      <w:r>
        <w:rPr>
          <w:rFonts w:hint="eastAsia" w:ascii="仿宋_GB2312" w:hAnsi="仿宋_GB2312" w:eastAsia="仿宋_GB2312" w:cs="Arial"/>
          <w:kern w:val="0"/>
          <w:sz w:val="32"/>
          <w:szCs w:val="32"/>
        </w:rPr>
        <w:t>）验收合格的物资，库管员应认真核查物资的名称、规格型号和数量</w:t>
      </w:r>
      <w:r>
        <w:rPr>
          <w:rFonts w:hint="eastAsia" w:ascii="仿宋_GB2312" w:hAnsi="仿宋_GB2312" w:eastAsia="仿宋_GB2312" w:cs="Arial"/>
          <w:kern w:val="0"/>
          <w:sz w:val="32"/>
          <w:szCs w:val="32"/>
          <w:lang w:eastAsia="zh-CN"/>
        </w:rPr>
        <w:t>，</w:t>
      </w:r>
      <w:r>
        <w:rPr>
          <w:rFonts w:hint="eastAsia" w:ascii="仿宋_GB2312" w:hAnsi="仿宋_GB2312" w:eastAsia="仿宋_GB2312" w:cs="Arial"/>
          <w:kern w:val="0"/>
          <w:sz w:val="32"/>
          <w:szCs w:val="32"/>
        </w:rPr>
        <w:t>确保各项物资标识如物资名称、规格型号、物资编码齐全完好。</w:t>
      </w:r>
    </w:p>
    <w:p w14:paraId="3C6B20E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第二十七条</w:t>
      </w:r>
      <w:r>
        <w:rPr>
          <w:rFonts w:hint="eastAsia" w:ascii="仿宋_GB2312" w:hAnsi="仿宋_GB2312" w:eastAsia="仿宋_GB2312" w:cs="Arial"/>
          <w:kern w:val="0"/>
          <w:sz w:val="32"/>
          <w:szCs w:val="32"/>
          <w:lang w:val="en-US" w:eastAsia="zh-CN"/>
        </w:rPr>
        <w:t xml:space="preserve"> </w:t>
      </w:r>
      <w:r>
        <w:rPr>
          <w:rFonts w:hint="eastAsia" w:ascii="仿宋_GB2312" w:hAnsi="仿宋_GB2312" w:eastAsia="仿宋_GB2312" w:cs="Arial"/>
          <w:kern w:val="0"/>
          <w:sz w:val="32"/>
          <w:szCs w:val="32"/>
        </w:rPr>
        <w:t>物资入库、领用、出库管理</w:t>
      </w:r>
    </w:p>
    <w:p w14:paraId="74DA8EB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（一）库管员</w:t>
      </w:r>
      <w:r>
        <w:rPr>
          <w:rFonts w:hint="eastAsia" w:ascii="仿宋_GB2312" w:hAnsi="仿宋_GB2312" w:eastAsia="仿宋_GB2312" w:cs="Arial"/>
          <w:kern w:val="0"/>
          <w:sz w:val="32"/>
          <w:szCs w:val="32"/>
          <w:lang w:eastAsia="zh-CN"/>
        </w:rPr>
        <w:t>应在</w:t>
      </w:r>
      <w:r>
        <w:rPr>
          <w:rFonts w:hint="eastAsia" w:ascii="仿宋_GB2312" w:hAnsi="仿宋_GB2312" w:eastAsia="仿宋_GB2312" w:cs="Arial"/>
          <w:kern w:val="0"/>
          <w:sz w:val="32"/>
          <w:szCs w:val="32"/>
        </w:rPr>
        <w:t>2个工作日内在公司物资管理系统做好入库手续。</w:t>
      </w:r>
    </w:p>
    <w:p w14:paraId="7FA2F1C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（二）公司材料实行谁使用、谁出账原则，</w:t>
      </w:r>
      <w:r>
        <w:rPr>
          <w:rFonts w:hint="eastAsia" w:ascii="仿宋_GB2312" w:hAnsi="仿宋_GB2312" w:eastAsia="仿宋_GB2312" w:cs="Arial"/>
          <w:kern w:val="0"/>
          <w:sz w:val="32"/>
          <w:szCs w:val="32"/>
        </w:rPr>
        <w:t>领料员应提前在物资管理系统填写领料单，领料单应注明具体使用用途，各专业部门按职责审批，物资出库必须有审批完成的领料单。</w:t>
      </w:r>
    </w:p>
    <w:p w14:paraId="292248B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（三）由于生产急需领用物资，仓库可以先发放，各部门必须在 3个工作日内补齐领料手续，否则推迟一天扣50元绩效。</w:t>
      </w:r>
    </w:p>
    <w:p w14:paraId="234C843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四</w:t>
      </w:r>
      <w:r>
        <w:rPr>
          <w:rFonts w:hint="eastAsia" w:ascii="仿宋_GB2312" w:hAnsi="仿宋_GB2312" w:eastAsia="仿宋_GB2312" w:cs="Arial"/>
          <w:kern w:val="0"/>
          <w:sz w:val="32"/>
          <w:szCs w:val="32"/>
        </w:rPr>
        <w:t>）物资发放时，保管员应认真核对领料单中物资编码、名称、规格型号、数量等信息；</w:t>
      </w:r>
    </w:p>
    <w:p w14:paraId="49786BB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w:t>
      </w:r>
      <w:r>
        <w:rPr>
          <w:rFonts w:hint="eastAsia" w:ascii="仿宋_GB2312" w:hAnsi="仿宋_GB2312" w:eastAsia="仿宋_GB2312" w:cs="Arial"/>
          <w:kern w:val="0"/>
          <w:sz w:val="32"/>
          <w:szCs w:val="32"/>
          <w:lang w:val="en-US" w:eastAsia="zh-CN"/>
        </w:rPr>
        <w:t>五</w:t>
      </w:r>
      <w:r>
        <w:rPr>
          <w:rFonts w:hint="eastAsia" w:ascii="仿宋_GB2312" w:hAnsi="仿宋_GB2312" w:eastAsia="仿宋_GB2312" w:cs="Arial"/>
          <w:kern w:val="0"/>
          <w:sz w:val="32"/>
          <w:szCs w:val="32"/>
        </w:rPr>
        <w:t>）库管员清点好待出库物资后移交领料员后应及时在公司物资管理系统做好出库。</w:t>
      </w:r>
    </w:p>
    <w:p w14:paraId="2BC87D5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第二十八条</w:t>
      </w:r>
      <w:r>
        <w:rPr>
          <w:rFonts w:hint="eastAsia" w:ascii="仿宋_GB2312" w:hAnsi="仿宋_GB2312" w:eastAsia="仿宋_GB2312" w:cs="Arial"/>
          <w:kern w:val="0"/>
          <w:sz w:val="32"/>
          <w:szCs w:val="32"/>
        </w:rPr>
        <w:t xml:space="preserve"> 仓库物资盘点管理</w:t>
      </w:r>
    </w:p>
    <w:p w14:paraId="457CEE69">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（一）物资</w:t>
      </w:r>
      <w:r>
        <w:rPr>
          <w:rFonts w:hint="eastAsia" w:ascii="仿宋_GB2312" w:hAnsi="仿宋_GB2312" w:eastAsia="仿宋_GB2312" w:cs="Arial"/>
          <w:kern w:val="0"/>
          <w:sz w:val="32"/>
          <w:szCs w:val="32"/>
        </w:rPr>
        <w:t>盘点分为月度盘点和年度盘点。</w:t>
      </w:r>
    </w:p>
    <w:p w14:paraId="64D3056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1.仓库库房内物资月度盘点由仓库主管、库管员结合收发存进行实地抽查盘点，形成盘点表、盈亏分析报告。</w:t>
      </w:r>
    </w:p>
    <w:p w14:paraId="0E829F9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对于药剂、柴油等直达使用现场的物资，需到现场验收，由属地车间保管，并建立备查账，月底25日</w:t>
      </w:r>
      <w:r>
        <w:rPr>
          <w:rFonts w:hint="eastAsia" w:ascii="仿宋_GB2312" w:hAnsi="仿宋_GB2312" w:eastAsia="仿宋_GB2312" w:cs="Arial"/>
          <w:kern w:val="0"/>
          <w:sz w:val="32"/>
          <w:szCs w:val="32"/>
          <w:lang w:eastAsia="zh-CN"/>
        </w:rPr>
        <w:t>作为</w:t>
      </w:r>
      <w:r>
        <w:rPr>
          <w:rFonts w:hint="eastAsia" w:ascii="仿宋_GB2312" w:hAnsi="仿宋_GB2312" w:eastAsia="仿宋_GB2312" w:cs="Arial"/>
          <w:kern w:val="0"/>
          <w:sz w:val="32"/>
          <w:szCs w:val="32"/>
        </w:rPr>
        <w:t>结账日，由仓库、采购、财务、属地车间等人员共同现场盘点、签字。</w:t>
      </w:r>
    </w:p>
    <w:p w14:paraId="44319B5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2.在每年年底须完成一次全面盘点，</w:t>
      </w:r>
      <w:r>
        <w:rPr>
          <w:rFonts w:hint="eastAsia" w:ascii="仿宋_GB2312" w:hAnsi="仿宋_GB2312" w:eastAsia="仿宋_GB2312" w:cs="Arial"/>
          <w:kern w:val="0"/>
          <w:sz w:val="32"/>
          <w:szCs w:val="32"/>
        </w:rPr>
        <w:t>由采购人员、财务部、仓库人员进行物资盘点，并签字；形成盘点表、盈亏分析报告上报</w:t>
      </w:r>
      <w:r>
        <w:rPr>
          <w:rFonts w:hint="eastAsia" w:ascii="仿宋_GB2312" w:hAnsi="仿宋_GB2312" w:eastAsia="仿宋_GB2312" w:cs="Arial"/>
          <w:kern w:val="0"/>
          <w:sz w:val="32"/>
          <w:szCs w:val="32"/>
        </w:rPr>
        <w:t>公司分管领导审核，经相关审批手续后进行账务调整。</w:t>
      </w:r>
    </w:p>
    <w:p w14:paraId="3E21C5A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3.修复入库物资、长期（含基建及技改）无动态物资，仓库要统一存放、保管，并建立备查账。</w:t>
      </w:r>
    </w:p>
    <w:p w14:paraId="30A972F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第二十九条</w:t>
      </w:r>
      <w:r>
        <w:rPr>
          <w:rFonts w:hint="eastAsia" w:ascii="仿宋_GB2312" w:hAnsi="仿宋_GB2312" w:eastAsia="仿宋_GB2312" w:cs="Arial"/>
          <w:kern w:val="0"/>
          <w:sz w:val="32"/>
          <w:szCs w:val="32"/>
        </w:rPr>
        <w:t xml:space="preserve"> 物资结账管理</w:t>
      </w:r>
    </w:p>
    <w:p w14:paraId="6FAC1D8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（一）库管员应使用公司规定的账簿与表单，确保仓库管理工作的完</w:t>
      </w:r>
      <w:r>
        <w:rPr>
          <w:rFonts w:hint="eastAsia" w:ascii="仿宋_GB2312" w:hAnsi="仿宋_GB2312" w:eastAsia="仿宋_GB2312" w:cs="Arial"/>
          <w:kern w:val="0"/>
          <w:sz w:val="32"/>
          <w:szCs w:val="32"/>
          <w:lang w:eastAsia="zh-CN"/>
        </w:rPr>
        <w:t>整性</w:t>
      </w:r>
      <w:r>
        <w:rPr>
          <w:rFonts w:hint="eastAsia" w:ascii="仿宋_GB2312" w:hAnsi="仿宋_GB2312" w:eastAsia="仿宋_GB2312" w:cs="Arial"/>
          <w:kern w:val="0"/>
          <w:sz w:val="32"/>
          <w:szCs w:val="32"/>
        </w:rPr>
        <w:t>和连续性，为公司财务部提供成本核算、经营活动分析与监督凭证；</w:t>
      </w:r>
    </w:p>
    <w:p w14:paraId="38F5E64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（二）库管员应每月25日进行结账，账簿、表单与财务部门进行校对；</w:t>
      </w:r>
    </w:p>
    <w:p w14:paraId="4C8F7BE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（三）库管员应做好每月的库存余额、月度入库、月度出库报表。</w:t>
      </w:r>
    </w:p>
    <w:p w14:paraId="3791CF9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第三十条</w:t>
      </w:r>
      <w:r>
        <w:rPr>
          <w:rFonts w:hint="eastAsia" w:ascii="仿宋_GB2312" w:hAnsi="仿宋_GB2312" w:eastAsia="仿宋_GB2312" w:cs="Arial"/>
          <w:kern w:val="0"/>
          <w:sz w:val="32"/>
          <w:szCs w:val="32"/>
        </w:rPr>
        <w:t xml:space="preserve"> 仓库安全管理</w:t>
      </w:r>
    </w:p>
    <w:p w14:paraId="6FD4EEC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（一）仓库应建立健全安全管理制度，定期进行安全和消防检查，排除安全隐患；</w:t>
      </w:r>
    </w:p>
    <w:p w14:paraId="56D920D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（二）物资装卸、堆垛、上架（下架）过程中，应注意轻拿、轻放；</w:t>
      </w:r>
    </w:p>
    <w:p w14:paraId="62CE665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（三）物料储存应遵循“防水、防火、防压”的原则。上下叠放时要做到“上小下大、上轻下重”。</w:t>
      </w:r>
    </w:p>
    <w:p w14:paraId="233A2B2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（四）易受潮物料，严禁直接摆放于地上，应放货架或卡板进行隔离。</w:t>
      </w:r>
    </w:p>
    <w:p w14:paraId="0996F69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五）危险化学品和易燃易爆品要进入指定区域，对于有特殊要求储存的材料备件和化学品，应严格按照要求进行分开储存，严禁混存。危险物品的保管，必须遵守“三远离、一严禁”的原则，即“远离火源、远离水源、远离电源、严禁混合堆放”。</w:t>
      </w:r>
    </w:p>
    <w:p w14:paraId="4D04C3C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（六）定期对仓库各级人员进行安全教育，</w:t>
      </w:r>
      <w:r>
        <w:rPr>
          <w:rFonts w:hint="eastAsia" w:ascii="仿宋_GB2312" w:hAnsi="仿宋_GB2312" w:eastAsia="仿宋_GB2312" w:cs="Arial"/>
          <w:kern w:val="0"/>
          <w:sz w:val="32"/>
          <w:szCs w:val="32"/>
          <w:lang w:eastAsia="zh-CN"/>
        </w:rPr>
        <w:t>增强</w:t>
      </w:r>
      <w:r>
        <w:rPr>
          <w:rFonts w:hint="eastAsia" w:ascii="仿宋_GB2312" w:hAnsi="仿宋_GB2312" w:eastAsia="仿宋_GB2312" w:cs="Arial"/>
          <w:kern w:val="0"/>
          <w:sz w:val="32"/>
          <w:szCs w:val="32"/>
        </w:rPr>
        <w:t>安全意识和安全防火基本素质。</w:t>
      </w:r>
    </w:p>
    <w:p w14:paraId="4AD8C0D4">
      <w:pPr>
        <w:keepNext w:val="0"/>
        <w:keepLines w:val="0"/>
        <w:pageBreakBefore w:val="0"/>
        <w:tabs>
          <w:tab w:val="left" w:pos="4680"/>
        </w:tabs>
        <w:wordWrap/>
        <w:overflowPunct/>
        <w:topLinePunct w:val="0"/>
        <w:bidi w:val="0"/>
        <w:spacing w:line="520" w:lineRule="exact"/>
        <w:ind w:firstLine="640" w:firstLineChars="200"/>
        <w:jc w:val="center"/>
        <w:rPr>
          <w:rFonts w:hint="eastAsia" w:ascii="黑体" w:hAnsi="黑体" w:eastAsia="黑体" w:cs="黑体"/>
          <w:kern w:val="0"/>
          <w:sz w:val="32"/>
          <w:szCs w:val="32"/>
        </w:rPr>
      </w:pPr>
      <w:r>
        <w:rPr>
          <w:rFonts w:hint="eastAsia" w:ascii="黑体" w:hAnsi="黑体" w:eastAsia="黑体" w:cs="黑体"/>
          <w:kern w:val="0"/>
          <w:sz w:val="32"/>
          <w:szCs w:val="32"/>
        </w:rPr>
        <w:t>第七章 物资编码</w:t>
      </w:r>
    </w:p>
    <w:p w14:paraId="786A5CA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第三十一条</w:t>
      </w:r>
      <w:r>
        <w:rPr>
          <w:rFonts w:hint="eastAsia" w:ascii="仿宋_GB2312" w:hAnsi="仿宋_GB2312" w:eastAsia="仿宋_GB2312" w:cs="Arial"/>
          <w:kern w:val="0"/>
          <w:sz w:val="32"/>
          <w:szCs w:val="32"/>
        </w:rPr>
        <w:t xml:space="preserve"> 所有物资实行统一编码管理。物资编码遵循准确性、严肃性、系统性的原则，按物资分类有序编排。物资名称及规格型号优先采用国家或者行业的标准命名。</w:t>
      </w:r>
    </w:p>
    <w:p w14:paraId="77CBB71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第三十二条</w:t>
      </w:r>
      <w:r>
        <w:rPr>
          <w:rFonts w:hint="eastAsia" w:ascii="仿宋_GB2312" w:hAnsi="仿宋_GB2312" w:eastAsia="仿宋_GB2312" w:cs="Arial"/>
          <w:kern w:val="0"/>
          <w:sz w:val="32"/>
          <w:szCs w:val="32"/>
        </w:rPr>
        <w:t xml:space="preserve"> 各使用部门（车间）梳理常用物资编码，规范物资名称、规格、材质等核心信息，负责物资编码的使用和新编码的申请，经管物资部负责新物资编码的审核并对接集团相关部门调整和封存物资编码。</w:t>
      </w:r>
    </w:p>
    <w:p w14:paraId="5D3AF7DE">
      <w:pPr>
        <w:keepNext w:val="0"/>
        <w:keepLines w:val="0"/>
        <w:pageBreakBefore w:val="0"/>
        <w:tabs>
          <w:tab w:val="left" w:pos="4680"/>
        </w:tabs>
        <w:wordWrap/>
        <w:overflowPunct/>
        <w:topLinePunct w:val="0"/>
        <w:bidi w:val="0"/>
        <w:spacing w:line="520" w:lineRule="exact"/>
        <w:ind w:firstLine="640" w:firstLineChars="200"/>
        <w:jc w:val="center"/>
        <w:rPr>
          <w:rFonts w:hint="eastAsia" w:ascii="黑体" w:hAnsi="黑体" w:eastAsia="黑体" w:cs="黑体"/>
          <w:kern w:val="0"/>
          <w:sz w:val="32"/>
          <w:szCs w:val="32"/>
        </w:rPr>
      </w:pPr>
      <w:r>
        <w:rPr>
          <w:rFonts w:hint="eastAsia" w:ascii="黑体" w:hAnsi="黑体" w:eastAsia="黑体" w:cs="黑体"/>
          <w:kern w:val="0"/>
          <w:sz w:val="32"/>
          <w:szCs w:val="32"/>
        </w:rPr>
        <w:t>第八章</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物资管理责任追究</w:t>
      </w:r>
    </w:p>
    <w:p w14:paraId="3A43E0AE">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第三十三条</w:t>
      </w:r>
      <w:r>
        <w:rPr>
          <w:rFonts w:hint="eastAsia" w:ascii="仿宋_GB2312" w:hAnsi="仿宋_GB2312" w:eastAsia="仿宋_GB2312" w:cs="Arial"/>
          <w:kern w:val="0"/>
          <w:sz w:val="32"/>
          <w:szCs w:val="32"/>
        </w:rPr>
        <w:t xml:space="preserve"> 物资管理活动必须依法依规组织进行，任何单位和个人不得以任何理由、采取任何方式干扰物资供应活动，有以下违规或违纪行为，依规依纪进行责任追究：</w:t>
      </w:r>
    </w:p>
    <w:p w14:paraId="590F55AA">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（一）不按规定程序采购的；</w:t>
      </w:r>
    </w:p>
    <w:p w14:paraId="3C564E8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（二）影响采购工作公平、公正的；</w:t>
      </w:r>
    </w:p>
    <w:p w14:paraId="560F3682">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（三）未按规定对失信供应商进行处置的；</w:t>
      </w:r>
    </w:p>
    <w:p w14:paraId="20AAEC2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（四）以不正当的手段干扰或影响物资供应工作的；</w:t>
      </w:r>
    </w:p>
    <w:p w14:paraId="583330BF">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（五）以权谋私、徇私舞弊、弄虚作假、吃拿卡要或索贿、受贿的；</w:t>
      </w:r>
    </w:p>
    <w:p w14:paraId="3EE1E448">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（六）无正当理由，终止采购、不执行或不公正执行物资采购结果的；</w:t>
      </w:r>
    </w:p>
    <w:p w14:paraId="7AFF7046">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（七）采购文件或技术规格书标明特定供应商，或无正当理由排斥潜在供应商的；</w:t>
      </w:r>
    </w:p>
    <w:p w14:paraId="348330A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（八）计划不准确、采购不及时等严重影响安全生产或项目建设的；</w:t>
      </w:r>
    </w:p>
    <w:p w14:paraId="27ED6C6D">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（九）违反</w:t>
      </w:r>
      <w:r>
        <w:rPr>
          <w:rFonts w:hint="eastAsia" w:ascii="仿宋_GB2312" w:hAnsi="仿宋_GB2312" w:eastAsia="仿宋_GB2312" w:cs="Arial"/>
          <w:kern w:val="0"/>
          <w:sz w:val="32"/>
          <w:szCs w:val="32"/>
          <w:lang w:eastAsia="zh-CN"/>
        </w:rPr>
        <w:t>法律法规</w:t>
      </w:r>
      <w:r>
        <w:rPr>
          <w:rFonts w:hint="eastAsia" w:ascii="仿宋_GB2312" w:hAnsi="仿宋_GB2312" w:eastAsia="仿宋_GB2312" w:cs="Arial"/>
          <w:kern w:val="0"/>
          <w:sz w:val="32"/>
          <w:szCs w:val="32"/>
        </w:rPr>
        <w:t>、集团公司规定和西北能化公司规定的其他行为。</w:t>
      </w:r>
    </w:p>
    <w:p w14:paraId="5A656691">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第三十四条</w:t>
      </w:r>
      <w:r>
        <w:rPr>
          <w:rFonts w:hint="eastAsia" w:ascii="仿宋_GB2312" w:hAnsi="仿宋_GB2312" w:eastAsia="仿宋_GB2312" w:cs="Arial"/>
          <w:kern w:val="0"/>
          <w:sz w:val="32"/>
          <w:szCs w:val="32"/>
        </w:rPr>
        <w:t xml:space="preserve"> 责任追究程序</w:t>
      </w:r>
    </w:p>
    <w:p w14:paraId="7F1CA1C3">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（一）任何单位和个人均有权对物资供应活动中的违规违纪行为进行举报和投诉。</w:t>
      </w:r>
    </w:p>
    <w:p w14:paraId="0876B4EC">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（二）公司纪委负责受理违规、违纪行为举报工作，依照有关规定进行调查处理。</w:t>
      </w:r>
    </w:p>
    <w:p w14:paraId="4D07779B">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（三）物资供应活动中的有关单位、有关部门或有关人员发生违规、违纪行为的，依规依纪进行责任追究</w:t>
      </w:r>
      <w:r>
        <w:rPr>
          <w:rFonts w:hint="eastAsia" w:ascii="仿宋_GB2312" w:hAnsi="仿宋_GB2312" w:eastAsia="仿宋_GB2312" w:cs="Arial"/>
          <w:kern w:val="0"/>
          <w:sz w:val="32"/>
          <w:szCs w:val="32"/>
          <w:lang w:eastAsia="zh-CN"/>
        </w:rPr>
        <w:t>；</w:t>
      </w:r>
      <w:r>
        <w:rPr>
          <w:rFonts w:hint="eastAsia" w:ascii="仿宋_GB2312" w:hAnsi="仿宋_GB2312" w:eastAsia="仿宋_GB2312" w:cs="Arial"/>
          <w:kern w:val="0"/>
          <w:sz w:val="32"/>
          <w:szCs w:val="32"/>
        </w:rPr>
        <w:t>涉嫌违法的，依法追究法律责任。</w:t>
      </w:r>
    </w:p>
    <w:p w14:paraId="32846627">
      <w:pPr>
        <w:keepNext w:val="0"/>
        <w:keepLines w:val="0"/>
        <w:pageBreakBefore w:val="0"/>
        <w:tabs>
          <w:tab w:val="left" w:pos="4680"/>
        </w:tabs>
        <w:wordWrap/>
        <w:overflowPunct/>
        <w:topLinePunct w:val="0"/>
        <w:bidi w:val="0"/>
        <w:spacing w:line="520" w:lineRule="exact"/>
        <w:ind w:firstLine="640" w:firstLineChars="200"/>
        <w:jc w:val="center"/>
        <w:rPr>
          <w:rFonts w:hint="eastAsia" w:ascii="黑体" w:hAnsi="黑体" w:eastAsia="黑体" w:cs="黑体"/>
          <w:kern w:val="0"/>
          <w:sz w:val="32"/>
          <w:szCs w:val="32"/>
        </w:rPr>
      </w:pPr>
      <w:r>
        <w:rPr>
          <w:rFonts w:hint="eastAsia" w:ascii="黑体" w:hAnsi="黑体" w:eastAsia="黑体" w:cs="黑体"/>
          <w:kern w:val="0"/>
          <w:sz w:val="32"/>
          <w:szCs w:val="32"/>
        </w:rPr>
        <w:t>第九章 附则</w:t>
      </w:r>
    </w:p>
    <w:p w14:paraId="1C4FAEC7">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r>
        <w:rPr>
          <w:rFonts w:hint="eastAsia" w:ascii="仿宋_GB2312" w:hAnsi="仿宋_GB2312" w:eastAsia="仿宋_GB2312" w:cs="Arial"/>
          <w:kern w:val="0"/>
          <w:sz w:val="32"/>
          <w:szCs w:val="32"/>
        </w:rPr>
        <w:t>第三十五条</w:t>
      </w:r>
      <w:r>
        <w:rPr>
          <w:rFonts w:hint="eastAsia" w:ascii="仿宋_GB2312" w:hAnsi="仿宋_GB2312" w:eastAsia="仿宋_GB2312" w:cs="Arial"/>
          <w:kern w:val="0"/>
          <w:sz w:val="32"/>
          <w:szCs w:val="32"/>
        </w:rPr>
        <w:t xml:space="preserve"> 本办法自印发之日起施行，原西北能化经营〔2025〕2号西北能化公司2025年经营管理与监督考核实施意见中附件3《材料管理办法》、附件6《物资验收管理办法》、附件14《物资采购管理办法》同时废止。</w:t>
      </w:r>
    </w:p>
    <w:p w14:paraId="37F0BC25">
      <w:pPr>
        <w:keepNext w:val="0"/>
        <w:keepLines w:val="0"/>
        <w:pageBreakBefore w:val="0"/>
        <w:tabs>
          <w:tab w:val="left" w:pos="4680"/>
        </w:tabs>
        <w:wordWrap/>
        <w:overflowPunct/>
        <w:topLinePunct w:val="0"/>
        <w:bidi w:val="0"/>
        <w:spacing w:line="520" w:lineRule="exact"/>
        <w:ind w:firstLine="640" w:firstLineChars="200"/>
        <w:rPr>
          <w:rFonts w:hint="eastAsia" w:ascii="仿宋_GB2312" w:hAnsi="仿宋_GB2312" w:eastAsia="仿宋_GB2312" w:cs="Arial"/>
          <w:kern w:val="0"/>
          <w:sz w:val="32"/>
          <w:szCs w:val="32"/>
        </w:rPr>
      </w:pPr>
    </w:p>
    <w:p w14:paraId="296EA598">
      <w:pPr>
        <w:spacing w:line="520" w:lineRule="exact"/>
        <w:jc w:val="center"/>
        <w:rPr>
          <w:rFonts w:ascii="黑体" w:hAnsi="黑体" w:eastAsia="黑体" w:cs="黑体"/>
          <w:b/>
          <w:bCs/>
          <w:sz w:val="32"/>
          <w:szCs w:val="32"/>
        </w:rPr>
      </w:pPr>
    </w:p>
    <w:p w14:paraId="2132E201">
      <w:pPr>
        <w:spacing w:line="520" w:lineRule="exact"/>
        <w:jc w:val="both"/>
        <w:rPr>
          <w:rFonts w:hint="eastAsia" w:ascii="黑体" w:hAnsi="黑体" w:eastAsia="黑体" w:cs="黑体"/>
          <w:b/>
          <w:bCs/>
          <w:sz w:val="32"/>
          <w:szCs w:val="32"/>
          <w:lang w:val="en-US" w:eastAsia="zh-CN"/>
        </w:rPr>
      </w:pPr>
    </w:p>
    <w:p w14:paraId="5F145EA2">
      <w:pPr>
        <w:spacing w:line="520" w:lineRule="exact"/>
        <w:jc w:val="both"/>
        <w:rPr>
          <w:rFonts w:hint="eastAsia" w:ascii="黑体" w:hAnsi="黑体" w:eastAsia="黑体" w:cs="黑体"/>
          <w:b/>
          <w:bCs/>
          <w:sz w:val="32"/>
          <w:szCs w:val="32"/>
          <w:lang w:val="en-US" w:eastAsia="zh-CN"/>
        </w:rPr>
      </w:pPr>
    </w:p>
    <w:p w14:paraId="5CF37764">
      <w:pPr>
        <w:spacing w:line="520" w:lineRule="exact"/>
        <w:jc w:val="both"/>
        <w:rPr>
          <w:rFonts w:hint="eastAsia" w:ascii="黑体" w:hAnsi="黑体" w:eastAsia="黑体" w:cs="黑体"/>
          <w:b/>
          <w:bCs/>
          <w:sz w:val="32"/>
          <w:szCs w:val="32"/>
          <w:lang w:val="en-US" w:eastAsia="zh-CN"/>
        </w:rPr>
      </w:pPr>
    </w:p>
    <w:p w14:paraId="157044CE">
      <w:pPr>
        <w:spacing w:line="520" w:lineRule="exact"/>
        <w:jc w:val="both"/>
        <w:rPr>
          <w:rFonts w:hint="eastAsia" w:ascii="黑体" w:hAnsi="黑体" w:eastAsia="黑体" w:cs="黑体"/>
          <w:b/>
          <w:bCs/>
          <w:sz w:val="32"/>
          <w:szCs w:val="32"/>
          <w:lang w:val="en-US" w:eastAsia="zh-CN"/>
        </w:rPr>
      </w:pPr>
    </w:p>
    <w:p w14:paraId="0C5EBC99">
      <w:pPr>
        <w:spacing w:line="520" w:lineRule="exact"/>
        <w:jc w:val="both"/>
        <w:rPr>
          <w:rFonts w:hint="eastAsia" w:ascii="黑体" w:hAnsi="黑体" w:eastAsia="黑体" w:cs="黑体"/>
          <w:b/>
          <w:bCs/>
          <w:sz w:val="32"/>
          <w:szCs w:val="32"/>
          <w:lang w:val="en-US" w:eastAsia="zh-CN"/>
        </w:rPr>
      </w:pPr>
    </w:p>
    <w:p w14:paraId="3EFF6C21">
      <w:pPr>
        <w:spacing w:line="520" w:lineRule="exact"/>
        <w:jc w:val="both"/>
        <w:rPr>
          <w:rFonts w:hint="eastAsia" w:ascii="黑体" w:hAnsi="黑体" w:eastAsia="黑体" w:cs="黑体"/>
          <w:b/>
          <w:bCs/>
          <w:sz w:val="32"/>
          <w:szCs w:val="32"/>
          <w:lang w:val="en-US" w:eastAsia="zh-CN"/>
        </w:rPr>
      </w:pPr>
    </w:p>
    <w:p w14:paraId="4239A162">
      <w:pPr>
        <w:spacing w:line="520" w:lineRule="exact"/>
        <w:jc w:val="both"/>
        <w:rPr>
          <w:rFonts w:hint="eastAsia" w:ascii="黑体" w:hAnsi="黑体" w:eastAsia="黑体" w:cs="黑体"/>
          <w:b/>
          <w:bCs/>
          <w:sz w:val="32"/>
          <w:szCs w:val="32"/>
          <w:lang w:val="en-US" w:eastAsia="zh-CN"/>
        </w:rPr>
      </w:pPr>
    </w:p>
    <w:p w14:paraId="724F60EA">
      <w:pPr>
        <w:spacing w:line="520" w:lineRule="exact"/>
        <w:jc w:val="both"/>
        <w:rPr>
          <w:rFonts w:hint="eastAsia" w:ascii="黑体" w:hAnsi="黑体" w:eastAsia="黑体" w:cs="黑体"/>
          <w:b/>
          <w:bCs/>
          <w:sz w:val="32"/>
          <w:szCs w:val="32"/>
          <w:lang w:val="en-US" w:eastAsia="zh-CN"/>
        </w:rPr>
      </w:pPr>
    </w:p>
    <w:p w14:paraId="16B20348">
      <w:pPr>
        <w:spacing w:line="520" w:lineRule="exact"/>
        <w:jc w:val="both"/>
        <w:rPr>
          <w:rFonts w:hint="eastAsia" w:ascii="黑体" w:hAnsi="黑体" w:eastAsia="黑体" w:cs="黑体"/>
          <w:b/>
          <w:bCs/>
          <w:sz w:val="32"/>
          <w:szCs w:val="32"/>
          <w:lang w:val="en-US" w:eastAsia="zh-CN"/>
        </w:rPr>
      </w:pPr>
    </w:p>
    <w:p w14:paraId="4B393CD3">
      <w:pPr>
        <w:spacing w:line="520" w:lineRule="exact"/>
        <w:jc w:val="both"/>
        <w:rPr>
          <w:rFonts w:hint="eastAsia" w:ascii="黑体" w:hAnsi="黑体" w:eastAsia="黑体" w:cs="黑体"/>
          <w:b/>
          <w:bCs/>
          <w:sz w:val="32"/>
          <w:szCs w:val="32"/>
          <w:lang w:val="en-US" w:eastAsia="zh-CN"/>
        </w:rPr>
      </w:pPr>
    </w:p>
    <w:p w14:paraId="3F72F42A">
      <w:pPr>
        <w:spacing w:line="520" w:lineRule="exact"/>
        <w:jc w:val="both"/>
        <w:rPr>
          <w:rFonts w:hint="eastAsia" w:ascii="黑体" w:hAnsi="黑体" w:eastAsia="黑体" w:cs="黑体"/>
          <w:b/>
          <w:bCs/>
          <w:sz w:val="32"/>
          <w:szCs w:val="32"/>
          <w:lang w:val="en-US" w:eastAsia="zh-CN"/>
        </w:rPr>
      </w:pPr>
    </w:p>
    <w:p w14:paraId="6E1982A3">
      <w:pPr>
        <w:spacing w:line="520" w:lineRule="exact"/>
        <w:jc w:val="both"/>
        <w:rPr>
          <w:rFonts w:hint="eastAsia" w:ascii="黑体" w:hAnsi="黑体" w:eastAsia="黑体" w:cs="黑体"/>
          <w:b/>
          <w:bCs/>
          <w:sz w:val="32"/>
          <w:szCs w:val="32"/>
          <w:lang w:val="en-US" w:eastAsia="zh-CN"/>
        </w:rPr>
      </w:pPr>
    </w:p>
    <w:p w14:paraId="6844B8AB">
      <w:pPr>
        <w:spacing w:line="520" w:lineRule="exact"/>
        <w:jc w:val="both"/>
        <w:rPr>
          <w:rFonts w:hint="eastAsia" w:ascii="黑体" w:hAnsi="黑体" w:eastAsia="黑体" w:cs="黑体"/>
          <w:b/>
          <w:bCs/>
          <w:sz w:val="32"/>
          <w:szCs w:val="32"/>
          <w:lang w:val="en-US" w:eastAsia="zh-CN"/>
        </w:rPr>
      </w:pPr>
    </w:p>
    <w:p w14:paraId="02B841A7">
      <w:pPr>
        <w:spacing w:line="520" w:lineRule="exact"/>
        <w:jc w:val="both"/>
        <w:rPr>
          <w:rFonts w:hint="eastAsia" w:ascii="黑体" w:hAnsi="黑体" w:eastAsia="黑体" w:cs="黑体"/>
          <w:b/>
          <w:bCs/>
          <w:sz w:val="32"/>
          <w:szCs w:val="32"/>
          <w:lang w:val="en-US" w:eastAsia="zh-CN"/>
        </w:rPr>
      </w:pPr>
    </w:p>
    <w:p w14:paraId="360AAFCF">
      <w:pPr>
        <w:pStyle w:val="2"/>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附件12</w:t>
      </w:r>
    </w:p>
    <w:p w14:paraId="1BAE1261">
      <w:pPr>
        <w:pStyle w:val="2"/>
        <w:jc w:val="center"/>
        <w:rPr>
          <w:rFonts w:hint="eastAsia" w:ascii="方正小标宋简体" w:hAnsi="方正小标宋简体" w:eastAsia="方正小标宋简体" w:cs="方正小标宋简体"/>
          <w:b w:val="0"/>
          <w:bCs/>
          <w:kern w:val="2"/>
          <w:szCs w:val="44"/>
        </w:rPr>
      </w:pPr>
      <w:r>
        <w:rPr>
          <w:rFonts w:hint="eastAsia" w:ascii="方正小标宋简体" w:hAnsi="方正小标宋简体" w:eastAsia="方正小标宋简体" w:cs="方正小标宋简体"/>
          <w:b w:val="0"/>
          <w:bCs/>
          <w:kern w:val="2"/>
          <w:szCs w:val="44"/>
        </w:rPr>
        <w:t>2026年甲醇及副产品销售管理办法</w:t>
      </w:r>
    </w:p>
    <w:p w14:paraId="0003C4EC">
      <w:pPr>
        <w:spacing w:line="520" w:lineRule="exact"/>
        <w:rPr>
          <w:rFonts w:hint="eastAsia" w:ascii="黑体" w:hAnsi="黑体" w:eastAsia="黑体" w:cs="黑体"/>
          <w:bCs/>
          <w:sz w:val="44"/>
          <w:szCs w:val="44"/>
        </w:rPr>
      </w:pPr>
    </w:p>
    <w:p w14:paraId="1D5192B9">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第一章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总则</w:t>
      </w:r>
    </w:p>
    <w:p w14:paraId="10A3434A">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第一条 为规范公司产品销售工作，降低经营风险，有效掌握市场信息，开拓市场，维护公司与客户之间的关系，及时为客户提供满意的服务，实现我公司产品销售利益最大化，特制定本办法。</w:t>
      </w:r>
    </w:p>
    <w:p w14:paraId="7417E079">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第二条 本办法适用于西北能化公司所有产品销售。</w:t>
      </w:r>
    </w:p>
    <w:p w14:paraId="36C17944">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第二章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管理机构及工作职责</w:t>
      </w:r>
    </w:p>
    <w:p w14:paraId="2AA7D657">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第三条 公司成立产品销售领导小组，组长：公司总经理，副组长：经营副总经理，成员：经营副总师、经管物资部、销售采购部、财务部等相关负责人。</w:t>
      </w:r>
    </w:p>
    <w:p w14:paraId="1DAD6F7F">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第四条 产品销售领导小组工作职责：</w:t>
      </w:r>
    </w:p>
    <w:p w14:paraId="442C4413">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（一）制定公司产品销售政策及规章制度；</w:t>
      </w:r>
    </w:p>
    <w:p w14:paraId="073FBAA1">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（二）制定公司销售目标，确定年度销售计划；</w:t>
      </w:r>
    </w:p>
    <w:p w14:paraId="49FB7994">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（三）对产品销售价格、销售量及客户需求预排量进行确定；</w:t>
      </w:r>
    </w:p>
    <w:p w14:paraId="0DFAF295">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（四）对销售费用预算及销售合同进行审定；</w:t>
      </w:r>
    </w:p>
    <w:p w14:paraId="1AB51E2C">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（五）对产品市场营销全过程进行管控。</w:t>
      </w:r>
    </w:p>
    <w:p w14:paraId="5748BCE9">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第五条 销售采购部为公司产品销售工作管理部门，具体工作职责：</w:t>
      </w:r>
    </w:p>
    <w:p w14:paraId="6E1F6C9F">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（一）按照公司年度生产经营计划编制产品月度销售计划；</w:t>
      </w:r>
    </w:p>
    <w:p w14:paraId="4F95A91C">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（二）提供产品定价依据及市场情况分析，以便公司产品销售领导小组对销售价格和销售量进行决策；</w:t>
      </w:r>
    </w:p>
    <w:p w14:paraId="6DDA5721">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（三）甲醇下游终端客户招标采购的投标报价。</w:t>
      </w:r>
    </w:p>
    <w:p w14:paraId="3830057E">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（四）签订产品销售及送货到厂的运输合同；</w:t>
      </w:r>
    </w:p>
    <w:p w14:paraId="6B636F26">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（五）办理提货手续及产品销售货款回收；</w:t>
      </w:r>
    </w:p>
    <w:p w14:paraId="18BA5B25">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（六）做好产品销售各类核对、统计报表及台账登记；</w:t>
      </w:r>
    </w:p>
    <w:p w14:paraId="095FFAEA">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（七）客户的接待和管理工作，建立客户动态评价机制；</w:t>
      </w:r>
    </w:p>
    <w:p w14:paraId="0C611C15">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（八）市场调研、新客户的开发工作；</w:t>
      </w:r>
    </w:p>
    <w:p w14:paraId="0BDD67B2">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（九）按审批意见处理产品售后服务相关事宜。</w:t>
      </w:r>
    </w:p>
    <w:p w14:paraId="2CF6F86C">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第三章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销售模式</w:t>
      </w:r>
    </w:p>
    <w:p w14:paraId="72531404">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第六条 公司产品主要有以下销售模式：</w:t>
      </w:r>
    </w:p>
    <w:p w14:paraId="40F48255">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（一）针对以甲醇为原料的生产厂家的直销模式，包括参与其招标采购的投标竞价销售模式；</w:t>
      </w:r>
    </w:p>
    <w:p w14:paraId="3266B690">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（二）针对贸易商的散销模式；</w:t>
      </w:r>
    </w:p>
    <w:p w14:paraId="6B3EE977">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（三）在国内专业网站公开拍卖的模式；</w:t>
      </w:r>
    </w:p>
    <w:p w14:paraId="2F89EB0E">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第四章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销售流程</w:t>
      </w:r>
    </w:p>
    <w:p w14:paraId="21DA09ED">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第七条 甲醇定价以公司竞拍或周边大型甲醇企业竞拍中标价格为参考，实行销售前召开销售定价会议，由销售采购部对上游生产、库存、下游市场需求情况及园区甲醇生产企业销售价格，在公司定价会上提出销售价格、销售量的建议及依据，确定当日的甲醇销售价格、计划销售量</w:t>
      </w:r>
      <w:r>
        <w:rPr>
          <w:rFonts w:hint="eastAsia" w:ascii="仿宋_GB2312" w:hAnsi="楷体_GB2312" w:eastAsia="仿宋_GB2312"/>
          <w:color w:val="000000" w:themeColor="text1"/>
          <w:sz w:val="32"/>
          <w:szCs w:val="32"/>
          <w:lang w:eastAsia="zh-CN"/>
          <w14:textFill>
            <w14:solidFill>
              <w14:schemeClr w14:val="tx1"/>
            </w14:solidFill>
          </w14:textFill>
        </w:rPr>
        <w:t>，</w:t>
      </w:r>
      <w:r>
        <w:rPr>
          <w:rFonts w:hint="eastAsia" w:ascii="仿宋_GB2312" w:hAnsi="楷体_GB2312" w:eastAsia="仿宋_GB2312"/>
          <w:color w:val="000000" w:themeColor="text1"/>
          <w:sz w:val="32"/>
          <w:szCs w:val="32"/>
          <w14:textFill>
            <w14:solidFill>
              <w14:schemeClr w14:val="tx1"/>
            </w14:solidFill>
          </w14:textFill>
        </w:rPr>
        <w:t>报公司产品销售领导小组（定价会）审定。经审定后的销售价格、计划销售量，交销售采购部执行。</w:t>
      </w:r>
    </w:p>
    <w:p w14:paraId="03F73338">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第八条 销售采购部根据市场变化，适时开展甲醇公开竞价销售、线下销售和预销售工作。</w:t>
      </w:r>
    </w:p>
    <w:p w14:paraId="38326923">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公开竞价销售是以当日市场行情变化进行的甲醇销售工作</w:t>
      </w:r>
      <w:r>
        <w:rPr>
          <w:rFonts w:hint="eastAsia" w:ascii="仿宋_GB2312" w:hAnsi="楷体_GB2312" w:eastAsia="仿宋_GB2312"/>
          <w:color w:val="000000" w:themeColor="text1"/>
          <w:sz w:val="32"/>
          <w:szCs w:val="32"/>
          <w:lang w:eastAsia="zh-CN"/>
          <w14:textFill>
            <w14:solidFill>
              <w14:schemeClr w14:val="tx1"/>
            </w14:solidFill>
          </w14:textFill>
        </w:rPr>
        <w:t>，在</w:t>
      </w:r>
      <w:r>
        <w:rPr>
          <w:rFonts w:hint="eastAsia" w:ascii="仿宋_GB2312" w:hAnsi="楷体_GB2312" w:eastAsia="仿宋_GB2312"/>
          <w:color w:val="000000" w:themeColor="text1"/>
          <w:sz w:val="32"/>
          <w:szCs w:val="32"/>
          <w14:textFill>
            <w14:solidFill>
              <w14:schemeClr w14:val="tx1"/>
            </w14:solidFill>
          </w14:textFill>
        </w:rPr>
        <w:t>竞价前20分钟在甲醇网上发布竞价公告并进行公开竞价销售，以竞拍平台定标结果，结合当日市场状况及甲醇库存情况，签订甲醇销售合同。根据当日行情变化，可适当调整具体竞价公告发布时间。</w:t>
      </w:r>
    </w:p>
    <w:p w14:paraId="0245596C">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线下定价销售是当日根据市场行情或周边大型甲醇企业竞拍中标价格为参考，结合产品库存等情况适时开展的销售工作。</w:t>
      </w:r>
    </w:p>
    <w:p w14:paraId="7C261456">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预销售是按照本周价格预收款、下单、提货，待下周第一次定价会议确定销售单价和计划销售量后，按照新确定的销售单价签订合同并最终结算。</w:t>
      </w:r>
    </w:p>
    <w:p w14:paraId="75B88716">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第九条 鉴于甲醇客户资源相对稳定，为增加客户</w:t>
      </w:r>
      <w:r>
        <w:rPr>
          <w:rFonts w:hint="eastAsia" w:ascii="仿宋_GB2312" w:hAnsi="楷体_GB2312" w:eastAsia="仿宋_GB2312"/>
          <w:color w:val="000000" w:themeColor="text1"/>
          <w:sz w:val="32"/>
          <w:szCs w:val="32"/>
          <w:lang w:eastAsia="zh-CN"/>
          <w14:textFill>
            <w14:solidFill>
              <w14:schemeClr w14:val="tx1"/>
            </w14:solidFill>
          </w14:textFill>
        </w:rPr>
        <w:t>的黏性</w:t>
      </w:r>
      <w:r>
        <w:rPr>
          <w:rFonts w:hint="eastAsia" w:ascii="仿宋_GB2312" w:hAnsi="楷体_GB2312" w:eastAsia="仿宋_GB2312"/>
          <w:color w:val="000000" w:themeColor="text1"/>
          <w:sz w:val="32"/>
          <w:szCs w:val="32"/>
          <w14:textFill>
            <w14:solidFill>
              <w14:schemeClr w14:val="tx1"/>
            </w14:solidFill>
          </w14:textFill>
        </w:rPr>
        <w:t>，提高销售工作效率。采取与客户签订年度长协合同，日常订货签订周订单的合同模式。</w:t>
      </w:r>
    </w:p>
    <w:p w14:paraId="1584B850">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第十条 副产品：杂醇、硫磺、硫酸铵、硫酸钠、氯化钠等产品定价。销售采购部根据生产技术部提供的副产品库存量及库容合理确定销售批次及销售量，提前发布竞价公告并委托“化多多”销售管理平台进行公开竞拍销售。拍卖底价根据上一期成交价格或周边企业近期成交价格确定，每一次流拍，底价降幅控制在50元，同一产品每天最多公开竞拍二次。</w:t>
      </w:r>
    </w:p>
    <w:p w14:paraId="7D4EF219">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第十一条 合同签订。销售采购部在与客户签订合同之前，应对客户的危化品经营许可证、营业执照等资质情况进行严格审查。尽可能使用我公司制定的格式合同，并严格履行公司合同签订审批流程。</w:t>
      </w:r>
    </w:p>
    <w:p w14:paraId="625E7596">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第十二条 合同执行。合同签订后严格按照合同条款执行，对于无法在合同期内完成提货的客户按合同规定收取未提取货物延期仓储费用。但因不可抗力因素（如：雨雪极端天气造成道路封闭、国家法定节假日或国家举行重大活动期间因道路运输管理导致道路封闭、非计划停车、突发生产事故、承运工具严重故障、国家政策严重变化、停车检修、重大自然灾害等原因）导致提货延期，经销售采购部核实，报公司产品销售领导小组讨论同意后，免收延期仓储费。</w:t>
      </w:r>
    </w:p>
    <w:p w14:paraId="53CF981B">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第十三条 货款回收。销售采购部本着先打款后发货的原则，务必使产品销售后的货款100%顺利回收。如遇特殊情况需延迟付款，必须经公司产品销售领导小组研究决定并办理相关手续后方可执行。</w:t>
      </w:r>
    </w:p>
    <w:p w14:paraId="046762AC">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第十四条 电子提货流程：销售合同（或订单）签订后，销售采购部根据合同数量及单价在大宗物料平台上制作提货单，财务部在收到款项后，在该平台上审核并录入收款金额，客户即可看到订单</w:t>
      </w:r>
      <w:r>
        <w:rPr>
          <w:rFonts w:hint="eastAsia" w:ascii="仿宋_GB2312" w:hAnsi="楷体_GB2312" w:eastAsia="仿宋_GB2312"/>
          <w:color w:val="000000" w:themeColor="text1"/>
          <w:sz w:val="32"/>
          <w:szCs w:val="32"/>
          <w:lang w:eastAsia="zh-CN"/>
          <w14:textFill>
            <w14:solidFill>
              <w14:schemeClr w14:val="tx1"/>
            </w14:solidFill>
          </w14:textFill>
        </w:rPr>
        <w:t>，</w:t>
      </w:r>
      <w:r>
        <w:rPr>
          <w:rFonts w:hint="eastAsia" w:ascii="仿宋_GB2312" w:hAnsi="楷体_GB2312" w:eastAsia="仿宋_GB2312"/>
          <w:color w:val="000000" w:themeColor="text1"/>
          <w:sz w:val="32"/>
          <w:szCs w:val="32"/>
          <w14:textFill>
            <w14:solidFill>
              <w14:schemeClr w14:val="tx1"/>
            </w14:solidFill>
          </w14:textFill>
        </w:rPr>
        <w:t>并在该平台对应订单上填报提货车号及司乘人员信息，司乘人员到厂后即可用身份证签到、进场、过磅、装车、打印纸质磅单等。</w:t>
      </w:r>
    </w:p>
    <w:p w14:paraId="4A100403">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第十五条 结算。合同执行完毕并核对无误后，销售采购部制作合同结算单，与客户进行核对，核对无误后双方盖章留存扫描件，并出具增值税发票开具申请单，经财务部门审核后，给予开具产品增值税专用发票。</w:t>
      </w:r>
    </w:p>
    <w:p w14:paraId="527D2DF5">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第十六条 对账。销售采购部每月根据客户打款金额及开票数量，核算期初余额、本期发生额、期末余额，并与客户、财务部门核对一致，盖章确认留存扫描件。</w:t>
      </w:r>
    </w:p>
    <w:p w14:paraId="71368B50">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第十七条 销售采购部应做好各类产品的销售报表及台账（包括合同台账、每月产品销售报表等）的编制、登记、存档、备查等管理工作。</w:t>
      </w:r>
    </w:p>
    <w:p w14:paraId="516C1DB9">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第五章</w:t>
      </w:r>
      <w:r>
        <w:rPr>
          <w:rFonts w:hint="eastAsia" w:ascii="黑体" w:hAnsi="黑体" w:eastAsia="黑体" w:cs="宋体"/>
          <w:color w:val="000000"/>
          <w:sz w:val="32"/>
          <w:szCs w:val="32"/>
          <w:lang w:val="en-US" w:eastAsia="zh-CN"/>
        </w:rPr>
        <w:t xml:space="preserve"> </w:t>
      </w:r>
      <w:r>
        <w:rPr>
          <w:rFonts w:hint="eastAsia" w:ascii="黑体" w:hAnsi="黑体" w:eastAsia="黑体" w:cs="宋体"/>
          <w:color w:val="000000"/>
          <w:sz w:val="32"/>
          <w:szCs w:val="32"/>
        </w:rPr>
        <w:t>奖罚</w:t>
      </w:r>
    </w:p>
    <w:p w14:paraId="4D77059D">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w:t>
      </w:r>
      <w:r>
        <w:rPr>
          <w:rFonts w:hint="eastAsia" w:ascii="仿宋_GB2312" w:hAnsi="楷体_GB2312" w:eastAsia="仿宋_GB2312"/>
          <w:color w:val="000000" w:themeColor="text1"/>
          <w:sz w:val="32"/>
          <w:szCs w:val="32"/>
          <w:lang w:val="en-US" w:eastAsia="zh-CN"/>
          <w14:textFill>
            <w14:solidFill>
              <w14:schemeClr w14:val="tx1"/>
            </w14:solidFill>
          </w14:textFill>
        </w:rPr>
        <w:t>十八</w:t>
      </w:r>
      <w:r>
        <w:rPr>
          <w:rFonts w:hint="eastAsia" w:ascii="仿宋_GB2312" w:hAnsi="楷体_GB2312" w:eastAsia="仿宋_GB2312"/>
          <w:color w:val="000000" w:themeColor="text1"/>
          <w:sz w:val="32"/>
          <w:szCs w:val="32"/>
          <w14:textFill>
            <w14:solidFill>
              <w14:schemeClr w14:val="tx1"/>
            </w14:solidFill>
          </w14:textFill>
        </w:rPr>
        <w:t>条 在销售工作中，对开拓终端、长协客户，销售价格高于园区内同类企业的，视创效大小给予适当奖励。</w:t>
      </w:r>
    </w:p>
    <w:p w14:paraId="7BCD1527">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w:t>
      </w:r>
      <w:r>
        <w:rPr>
          <w:rFonts w:hint="eastAsia" w:ascii="仿宋_GB2312" w:hAnsi="楷体_GB2312" w:eastAsia="仿宋_GB2312"/>
          <w:color w:val="000000" w:themeColor="text1"/>
          <w:sz w:val="32"/>
          <w:szCs w:val="32"/>
          <w:lang w:val="en-US" w:eastAsia="zh-CN"/>
          <w14:textFill>
            <w14:solidFill>
              <w14:schemeClr w14:val="tx1"/>
            </w14:solidFill>
          </w14:textFill>
        </w:rPr>
        <w:t>十九</w:t>
      </w:r>
      <w:r>
        <w:rPr>
          <w:rFonts w:hint="eastAsia" w:ascii="仿宋_GB2312" w:hAnsi="楷体_GB2312" w:eastAsia="仿宋_GB2312"/>
          <w:color w:val="000000" w:themeColor="text1"/>
          <w:sz w:val="32"/>
          <w:szCs w:val="32"/>
          <w14:textFill>
            <w14:solidFill>
              <w14:schemeClr w14:val="tx1"/>
            </w14:solidFill>
          </w14:textFill>
        </w:rPr>
        <w:t>条 在销售工作中，对未按期完成计划销售量，在合同签订、收款、下单、报表编制等环节，存在明显失误，视造成损失大小，给予相关责任人适当处罚问责。</w:t>
      </w:r>
    </w:p>
    <w:p w14:paraId="34C0B23D">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第二十条 销售相关人员如有和客户相互勾结，获取不正当利益，损害公司利益的行为，一经查实，解除劳动合同，触犯法律的移交司法机关处理。</w:t>
      </w:r>
    </w:p>
    <w:p w14:paraId="51906A7D">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黑体" w:hAnsi="黑体" w:eastAsia="黑体" w:cs="宋体"/>
          <w:color w:val="000000"/>
          <w:sz w:val="32"/>
          <w:szCs w:val="32"/>
        </w:rPr>
      </w:pPr>
      <w:r>
        <w:rPr>
          <w:rFonts w:hint="eastAsia" w:ascii="黑体" w:hAnsi="黑体" w:eastAsia="黑体" w:cs="宋体"/>
          <w:color w:val="000000"/>
          <w:sz w:val="32"/>
          <w:szCs w:val="32"/>
        </w:rPr>
        <w:t>第六章 附则</w:t>
      </w:r>
    </w:p>
    <w:p w14:paraId="2C521561">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hint="eastAsia" w:ascii="仿宋_GB2312" w:hAnsi="楷体_GB2312" w:eastAsia="仿宋_GB2312"/>
          <w:color w:val="000000" w:themeColor="text1"/>
          <w:sz w:val="32"/>
          <w:szCs w:val="32"/>
          <w14:textFill>
            <w14:solidFill>
              <w14:schemeClr w14:val="tx1"/>
            </w14:solidFill>
          </w14:textFill>
        </w:rPr>
      </w:pPr>
      <w:r>
        <w:rPr>
          <w:rFonts w:hint="eastAsia" w:ascii="仿宋_GB2312" w:hAnsi="楷体_GB2312" w:eastAsia="仿宋_GB2312"/>
          <w:color w:val="000000" w:themeColor="text1"/>
          <w:sz w:val="32"/>
          <w:szCs w:val="32"/>
          <w14:textFill>
            <w14:solidFill>
              <w14:schemeClr w14:val="tx1"/>
            </w14:solidFill>
          </w14:textFill>
        </w:rPr>
        <w:t>第二十</w:t>
      </w:r>
      <w:r>
        <w:rPr>
          <w:rFonts w:hint="eastAsia" w:ascii="仿宋_GB2312" w:hAnsi="楷体_GB2312" w:eastAsia="仿宋_GB2312"/>
          <w:color w:val="000000" w:themeColor="text1"/>
          <w:sz w:val="32"/>
          <w:szCs w:val="32"/>
          <w:lang w:val="en-US" w:eastAsia="zh-CN"/>
          <w14:textFill>
            <w14:solidFill>
              <w14:schemeClr w14:val="tx1"/>
            </w14:solidFill>
          </w14:textFill>
        </w:rPr>
        <w:t>一</w:t>
      </w:r>
      <w:r>
        <w:rPr>
          <w:rFonts w:hint="eastAsia" w:ascii="仿宋_GB2312" w:hAnsi="楷体_GB2312" w:eastAsia="仿宋_GB2312"/>
          <w:color w:val="000000" w:themeColor="text1"/>
          <w:sz w:val="32"/>
          <w:szCs w:val="32"/>
          <w14:textFill>
            <w14:solidFill>
              <w14:schemeClr w14:val="tx1"/>
            </w14:solidFill>
          </w14:textFill>
        </w:rPr>
        <w:t>条 本办法自印发之日起施行，原西北能化经营〔2025〕2号西北能化公司2025年经营管理与监督考核实施意见中附件15《甲醇及副产品销售管理办法》同时废止。</w:t>
      </w:r>
    </w:p>
    <w:p w14:paraId="640AE727">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1152B6DC">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2D3DDAC8">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6B0E5C92">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1079BDD6">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695C0CCF">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28FDA3C9">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725E615B">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4765B598">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74B73717">
      <w:pPr>
        <w:keepNext w:val="0"/>
        <w:keepLines w:val="0"/>
        <w:pageBreakBefore w:val="0"/>
        <w:widowControl w:val="0"/>
        <w:kinsoku/>
        <w:wordWrap/>
        <w:overflowPunct/>
        <w:topLinePunct w:val="0"/>
        <w:autoSpaceDE/>
        <w:autoSpaceDN/>
        <w:bidi w:val="0"/>
        <w:adjustRightInd/>
        <w:spacing w:line="520" w:lineRule="exact"/>
        <w:ind w:firstLine="520"/>
        <w:jc w:val="left"/>
        <w:textAlignment w:val="auto"/>
        <w:rPr>
          <w:rFonts w:hint="eastAsia" w:ascii="仿宋_GB2312" w:hAnsi="楷体_GB2312" w:eastAsia="仿宋_GB2312"/>
          <w:color w:val="000000" w:themeColor="text1"/>
          <w:sz w:val="32"/>
          <w:szCs w:val="32"/>
          <w14:textFill>
            <w14:solidFill>
              <w14:schemeClr w14:val="tx1"/>
            </w14:solidFill>
          </w14:textFill>
        </w:rPr>
      </w:pPr>
    </w:p>
    <w:p w14:paraId="298CF0F5">
      <w:pPr>
        <w:spacing w:line="540" w:lineRule="exact"/>
        <w:rPr>
          <w:rFonts w:hint="eastAsia" w:ascii="宋体" w:hAnsi="宋体" w:cs="宋体"/>
          <w:sz w:val="28"/>
          <w:szCs w:val="28"/>
        </w:rPr>
      </w:pPr>
    </w:p>
    <w:p w14:paraId="15974C35">
      <w:pPr>
        <w:spacing w:line="540" w:lineRule="exact"/>
        <w:rPr>
          <w:rFonts w:hint="eastAsia" w:ascii="宋体" w:hAnsi="宋体" w:cs="宋体"/>
          <w:sz w:val="28"/>
          <w:szCs w:val="28"/>
        </w:rPr>
      </w:pPr>
    </w:p>
    <w:p w14:paraId="22221C56">
      <w:pPr>
        <w:spacing w:line="540" w:lineRule="exact"/>
        <w:rPr>
          <w:rFonts w:hint="eastAsia" w:ascii="宋体" w:hAnsi="宋体" w:cs="宋体"/>
          <w:sz w:val="28"/>
          <w:szCs w:val="28"/>
        </w:rPr>
      </w:pPr>
    </w:p>
    <w:p w14:paraId="2684F373">
      <w:pPr>
        <w:spacing w:line="540" w:lineRule="exact"/>
        <w:rPr>
          <w:rFonts w:hint="eastAsia" w:ascii="宋体" w:hAnsi="宋体" w:cs="宋体"/>
          <w:sz w:val="28"/>
          <w:szCs w:val="28"/>
        </w:rPr>
      </w:pPr>
    </w:p>
    <w:p w14:paraId="1F994165">
      <w:pPr>
        <w:pStyle w:val="14"/>
        <w:spacing w:line="700" w:lineRule="exact"/>
        <w:ind w:left="0" w:leftChars="0" w:firstLine="0" w:firstLineChars="0"/>
        <w:jc w:val="left"/>
        <w:rPr>
          <w:rFonts w:ascii="仿宋_GB2312" w:eastAsia="仿宋_GB2312"/>
          <w:b w:val="0"/>
          <w:bCs w:val="0"/>
          <w:sz w:val="32"/>
          <w:szCs w:val="32"/>
        </w:rPr>
      </w:pPr>
      <w:r>
        <w:rPr>
          <w:rFonts w:hint="eastAsia" w:ascii="黑体" w:hAnsi="黑体" w:eastAsia="黑体" w:cs="黑体"/>
          <w:b w:val="0"/>
          <w:bCs w:val="0"/>
          <w:sz w:val="32"/>
          <w:szCs w:val="32"/>
          <w:lang w:val="en-US" w:eastAsia="zh-CN"/>
        </w:rPr>
        <w:t>附件13</w:t>
      </w:r>
    </w:p>
    <w:p w14:paraId="556E73B1">
      <w:pPr>
        <w:pStyle w:val="1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2026年招投标管理办法</w:t>
      </w:r>
    </w:p>
    <w:p w14:paraId="16E6BC22">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p>
    <w:p w14:paraId="09592964">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第一章 总则</w:t>
      </w:r>
    </w:p>
    <w:p w14:paraId="3C959DDF">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第一条 为规范西北能化公司工程、货物和服务招投标活动，依据皖北煤电经管【2024】132号招标投标管理办法，结合公司实际，制定本办法。</w:t>
      </w:r>
    </w:p>
    <w:p w14:paraId="52D644DC">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第二条 本办法适用于西北能化公司工程、货物和服务的招标采购活动。</w:t>
      </w:r>
    </w:p>
    <w:p w14:paraId="011C856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本办法所称工程包括工程以及与工程建设有关的货物、服务。其中，工程是指建设工程，包括建筑物和构筑物的新建、改建、扩建及其相关的装修、拆除、修缮等；与工程建设有关的货物，是指构成工程不可分割的组成部分，且为实现工程基本功能所必需的设备、材料；与工程建设有关的服务，是指为完成工程所需的勘察、设计、监理等服务。</w:t>
      </w:r>
    </w:p>
    <w:p w14:paraId="3E35FC2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本办法所称货物是指企业生产运营过程中所需的原（辅）材料、燃料、设备、备件等。</w:t>
      </w:r>
    </w:p>
    <w:p w14:paraId="3817788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本办法所称服务是指除工程和货物以外的其他采购项目， 包括咨询服务、评估服务、法律服务、审计服务、设备维修、技术开发、租赁服务、运营维护等</w:t>
      </w:r>
    </w:p>
    <w:p w14:paraId="7777AADB">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第二章 组织机构</w:t>
      </w:r>
    </w:p>
    <w:p w14:paraId="44E28F4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第三条 成立公司招投标管理领导小组</w:t>
      </w:r>
    </w:p>
    <w:p w14:paraId="429EF95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组  长：党委书记/董事长 、总经理</w:t>
      </w:r>
    </w:p>
    <w:p w14:paraId="67D0966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副组长：分管副总经理  总工程师</w:t>
      </w:r>
    </w:p>
    <w:p w14:paraId="4827142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成  员：副总师、各部门部长、车间主任等人员</w:t>
      </w:r>
    </w:p>
    <w:p w14:paraId="1E3C3BF6">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领导小组下设招标工作办公室（简称招标办），招标办设在经管物资部；人力资源部（党群部）负责组织人员对评标过程进行监督。</w:t>
      </w:r>
    </w:p>
    <w:p w14:paraId="07D51D8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第四条 招标领导小组职责</w:t>
      </w:r>
    </w:p>
    <w:p w14:paraId="15DA1FEE">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（一）对招标投标活动实行宏观管理，根据年度计划批准的项目和资金落实情况，确定招标采购和非招标采购项目及招标项目的方式和评标原则；</w:t>
      </w:r>
    </w:p>
    <w:p w14:paraId="6C07B22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（二）负责指导、协调招投标活动，依法对招投标活动进行监督检查；</w:t>
      </w:r>
    </w:p>
    <w:p w14:paraId="7E4B0B1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（三）负责审议招标投标管理有关制度，对招投标有关议题进行决策；</w:t>
      </w:r>
    </w:p>
    <w:p w14:paraId="1FF63C2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（四）对特别项目的招标，领导小组成员可以直接参与并负责招投标活动的全过程；</w:t>
      </w:r>
    </w:p>
    <w:p w14:paraId="446EEF0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（五）负责审批邀请招标项目和谈判采购项目，应当签署意见；</w:t>
      </w:r>
    </w:p>
    <w:p w14:paraId="6ED3A15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第五条 招标办职责</w:t>
      </w:r>
    </w:p>
    <w:p w14:paraId="47E2B99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（一）贯彻集团公司招投标管理制度。负责拟订西北能化公司招标管理办法等有关制度，依法依规开展招标活动；</w:t>
      </w:r>
    </w:p>
    <w:p w14:paraId="5FF5B37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（二）受理招标申请，负责组织编制招标审查，发布招标公告；组织开标、评标、中标公示、公告；</w:t>
      </w:r>
    </w:p>
    <w:p w14:paraId="6FF384A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（三）负责组织项目申请部门、评审等人员处理投标人异议或质疑；</w:t>
      </w:r>
    </w:p>
    <w:p w14:paraId="6C349DA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（四）负责招标项目资料的整理与归档；</w:t>
      </w:r>
    </w:p>
    <w:p w14:paraId="39912FA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第六条 监督职责</w:t>
      </w:r>
    </w:p>
    <w:p w14:paraId="11DD78ED">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（一）负责监督招标投标管理制度的贯彻落实；</w:t>
      </w:r>
    </w:p>
    <w:p w14:paraId="7874E77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（二）负责监督招标投标活动的合法性、合规性，现场监督开标评标；</w:t>
      </w:r>
    </w:p>
    <w:p w14:paraId="37E102D2">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（三）对参加招标投标活动人员的违规行为进行制止并上报招投标领导小组问责；</w:t>
      </w:r>
    </w:p>
    <w:p w14:paraId="4E36017D">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（四）参与招标投标异议、质疑、投诉和举报有关事项的处理；</w:t>
      </w:r>
    </w:p>
    <w:p w14:paraId="08E3F20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第七条 招标项目申报责任部门，对报送的招标资料负责，履行下列职责：</w:t>
      </w:r>
    </w:p>
    <w:p w14:paraId="2BC8B35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（一）参与制定招标投标管理办法等有关制度。</w:t>
      </w:r>
    </w:p>
    <w:p w14:paraId="4D93C37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（二）审定招标项目的技术规格书或工程项目书（工程量清单）及主要参数、配置、方案设计、图纸等，并对审核和审定的科学性、合理性负责。具体为：</w:t>
      </w:r>
    </w:p>
    <w:p w14:paraId="38BE063E">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1.生产技术部负责审定化工工艺、技改、催化剂、添加剂（材料）、大修等申报的技术规格书或技改工程项目书、设计图纸等其他相关事宜；</w:t>
      </w:r>
    </w:p>
    <w:p w14:paraId="6D024ED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2.设备管理部负责审定各类设备、备件以及委外维修、大修等技术规格书或工程项目书、设计图纸等；以及电气、仪表车间范围的供用电、通信、网络、自动化设备（材料）等申报的技术规格书或机电安装工程项目书、设计图纸等其他相关事宜；</w:t>
      </w:r>
    </w:p>
    <w:p w14:paraId="0C97718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3.安全监管部负责审定安全环保设备、安全培训、危废固废处置及其它相关事宜的技术规格书或安全环保工程项目书等相关事宜；</w:t>
      </w:r>
    </w:p>
    <w:p w14:paraId="28EB701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4.综合部负责审定相关劳务、食堂等服务性项目招标意见书等其他相关事宜；</w:t>
      </w:r>
    </w:p>
    <w:p w14:paraId="6B38A5C1">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5.销售采购部负责审定年度物资招标采购计划及物资招标申请，测算招标物资区间价格等其他相关事宜；未达到招标范围的物资采购，由采购人员进行比议价工作；</w:t>
      </w:r>
    </w:p>
    <w:p w14:paraId="773BD72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6.工程管理人员负责审核工程计划，组织审核工程类工程项目书以及全公司工程预算、参与验收等工作；</w:t>
      </w:r>
    </w:p>
    <w:p w14:paraId="4DBA88C7">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7.其他项目采购由申报单位负责审定各自职责范围内的技术规格书或工程项目书、工程量清单等。</w:t>
      </w:r>
    </w:p>
    <w:p w14:paraId="081E136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（三）负责招标项目申报，参与审查招标文件；</w:t>
      </w:r>
    </w:p>
    <w:p w14:paraId="04DA6F5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（四）负责招标投标过程与资质、技术、图纸、安全等采购申请书相关内容的澄清、异议、质疑及投诉处理；</w:t>
      </w:r>
    </w:p>
    <w:p w14:paraId="4AED52A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（五）负责合同签订与履行过程的实施和管理；</w:t>
      </w:r>
    </w:p>
    <w:p w14:paraId="0D890E3D">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（六）合同签订后移交经管物资部招标办一份原件，项目归档使用。</w:t>
      </w:r>
    </w:p>
    <w:p w14:paraId="5DF402C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（七）负责按照招标文件要求收取及退还履约保证金。</w:t>
      </w:r>
    </w:p>
    <w:p w14:paraId="751AF36A">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第三章 招标范围</w:t>
      </w:r>
    </w:p>
    <w:p w14:paraId="25F91E06">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第八条 公司的工程、货物和服务采购项目，达到规定的规模标准，必须进行招标。任何部门和个人不得将必须进行招标采购的项目化整为零、设定不合理暂估价、以涉密项目、应急项目名义等方式规避招标，不得以相关理由进行“明招暗定”“先建后招”虚假招标。</w:t>
      </w:r>
    </w:p>
    <w:p w14:paraId="6101910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属于特殊情形，拟不进行公开招标的，由项目（采购）单位提出申请，经招标领导小组批准，可以进行邀请招标或谈判采购；但不得将特殊情形之外的项目通过集体决策、会议纪要、函复意见、备忘录等方式，违规转为非招标采购方式。</w:t>
      </w:r>
    </w:p>
    <w:p w14:paraId="142603B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第九条 上条所称达到规定的规模标准，必须进行招标的采购项目，分为下列两类。</w:t>
      </w:r>
    </w:p>
    <w:p w14:paraId="1168C66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（一）符合集团公司招标的项目，应上报集团公司进行招标，由经管物资部按照公司要求报集团公司招标中心。</w:t>
      </w:r>
    </w:p>
    <w:p w14:paraId="7B90A8EB">
      <w:pPr>
        <w:keepNext w:val="0"/>
        <w:keepLines w:val="0"/>
        <w:pageBreakBefore w:val="0"/>
        <w:kinsoku/>
        <w:wordWrap/>
        <w:overflowPunct/>
        <w:topLinePunct w:val="0"/>
        <w:autoSpaceDE/>
        <w:autoSpaceDN/>
        <w:bidi w:val="0"/>
        <w:adjustRightInd/>
        <w:snapToGrid/>
        <w:spacing w:line="480" w:lineRule="exact"/>
        <w:ind w:firstLine="627" w:firstLineChars="196"/>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1.施工（土建、安装等）工程单项概算或单项合同估算价在50万元人民币以上的；</w:t>
      </w:r>
    </w:p>
    <w:p w14:paraId="77AD4C7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2.原（辅）材料、燃料、设备、备件等货物的采购，单项概算或单项合同估算价在50万元人民币以上的；</w:t>
      </w:r>
    </w:p>
    <w:p w14:paraId="4E5B25E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3.咨询服务、评估服务、审计服务、法律服务、租赁服务以及勘察、设计、监理、技术开发等服务的采购，单项概算或单项合同估算价在30万元人民币以上的；</w:t>
      </w:r>
    </w:p>
    <w:p w14:paraId="19CA036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4.运营维护、设备维修单项概算或单项合同估算价在50万元人民币以上的；</w:t>
      </w:r>
    </w:p>
    <w:p w14:paraId="75F27E1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5.重复性采购项目或不同实施主体的同类采购项目主要指单一货物或同一名称、同一品种货物（原辅材料、燃料、设备、备件等）的采购，上年度采购总额在50万元人民币以上的。</w:t>
      </w:r>
    </w:p>
    <w:p w14:paraId="72DCC84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kern w:val="2"/>
          <w:sz w:val="32"/>
          <w:szCs w:val="32"/>
          <w:lang w:val="en-US" w:eastAsia="zh-CN" w:bidi="ar-SA"/>
          <w14:textFill>
            <w14:solidFill>
              <w14:schemeClr w14:val="tx1"/>
            </w14:solidFill>
          </w14:textFill>
        </w:rPr>
        <w:t>（二）符合以下标准，由西北能化公司组织招标。</w:t>
      </w:r>
    </w:p>
    <w:p w14:paraId="1AFBDFA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1.施工（土建、安装等）工程单项概算或单项合同估算价在30万元人民币以上50万元人民币以下的；</w:t>
      </w:r>
    </w:p>
    <w:p w14:paraId="4BBFC263">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2.原（辅）材料、燃料、设备、备件等货物的采购，单项概算或单项合同估算价在30万元人民币以上50万元人民币以下的；</w:t>
      </w:r>
    </w:p>
    <w:p w14:paraId="16913D1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3.运营维护、设备维修单项概算或单项合同估算价在30万元人民币以上50万元人民币以下的；</w:t>
      </w:r>
    </w:p>
    <w:p w14:paraId="5CE0544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4.咨询服务、评估服务、审计服务、法律服务、租赁服务以及勘察、设计、监理、技术开发等服务的采购，单项概算或单项合同估算价在20万元人民币以上30万元人民币以下的；</w:t>
      </w:r>
    </w:p>
    <w:p w14:paraId="250DC38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5.上年度物资采购金额在30万元人民币以上50万元人民币以下的；</w:t>
      </w:r>
    </w:p>
    <w:p w14:paraId="1C1280BD">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6.上年度物资采购金额在30万元人民币以下的，由销售采购部实施。</w:t>
      </w:r>
    </w:p>
    <w:p w14:paraId="0CE187B6">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第四章 招标项目和方式</w:t>
      </w:r>
    </w:p>
    <w:p w14:paraId="43201BAC">
      <w:pPr>
        <w:keepNext w:val="0"/>
        <w:keepLines w:val="0"/>
        <w:pageBreakBefore w:val="0"/>
        <w:kinsoku/>
        <w:wordWrap/>
        <w:overflowPunct/>
        <w:topLinePunct w:val="0"/>
        <w:autoSpaceDE/>
        <w:autoSpaceDN/>
        <w:bidi w:val="0"/>
        <w:adjustRightInd/>
        <w:snapToGrid/>
        <w:spacing w:line="480" w:lineRule="exact"/>
        <w:ind w:firstLine="640" w:firstLineChars="200"/>
        <w:textAlignment w:val="auto"/>
        <w:outlineLvl w:val="2"/>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第十条 招标分为公开招标和邀请招标。</w:t>
      </w:r>
    </w:p>
    <w:p w14:paraId="41D2650F">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公开招标是指招标人以招标公告的方式邀请不特定的法人或者其他组织投标。</w:t>
      </w:r>
    </w:p>
    <w:p w14:paraId="3F7BC68B">
      <w:pPr>
        <w:pStyle w:val="9"/>
        <w:keepNext w:val="0"/>
        <w:keepLines w:val="0"/>
        <w:pageBreakBefore w:val="0"/>
        <w:kinsoku/>
        <w:wordWrap/>
        <w:overflowPunct/>
        <w:topLinePunct w:val="0"/>
        <w:autoSpaceDE/>
        <w:autoSpaceDN/>
        <w:bidi w:val="0"/>
        <w:adjustRightInd/>
        <w:snapToGrid/>
        <w:spacing w:line="480" w:lineRule="exact"/>
        <w:ind w:firstLine="64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邀请招标是指招标人以投标邀请书的方式邀请特定的法人或者其他组织投标。采用邀请招标方式的，应当向3个以上具备承担招标项目能力、资信良好的特定的法人或者其他组织发出投标邀请书。</w:t>
      </w:r>
    </w:p>
    <w:p w14:paraId="0A7C9106">
      <w:pPr>
        <w:pStyle w:val="9"/>
        <w:keepNext w:val="0"/>
        <w:keepLines w:val="0"/>
        <w:pageBreakBefore w:val="0"/>
        <w:kinsoku/>
        <w:wordWrap/>
        <w:overflowPunct/>
        <w:topLinePunct w:val="0"/>
        <w:autoSpaceDE/>
        <w:autoSpaceDN/>
        <w:bidi w:val="0"/>
        <w:adjustRightInd/>
        <w:snapToGrid/>
        <w:spacing w:line="480" w:lineRule="exact"/>
        <w:ind w:firstLine="643"/>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第十一条 需进行招标的项目出现下列情形之一的，由项目（采购）单位提出申请，报招标领导小组副组长及组长签批同意后，可以邀请招标：</w:t>
      </w:r>
    </w:p>
    <w:p w14:paraId="67D45471">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（一）确因技术比较复杂、有特殊要求或受自然环境限制等原因，只有少量潜在投标人可供选择的；</w:t>
      </w:r>
    </w:p>
    <w:p w14:paraId="57B854E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（二）采用公开招标方式的费用占项目合同金额的比例过大；</w:t>
      </w:r>
    </w:p>
    <w:p w14:paraId="559E2AA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（三）国家法律规定的其他情形；</w:t>
      </w:r>
    </w:p>
    <w:p w14:paraId="2FD78231">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（四）其他经招标领导小组批准的项目。</w:t>
      </w:r>
    </w:p>
    <w:p w14:paraId="79AA61B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申请单位应当推荐不低于3个合格的邀请单位，并提供邀请单位的相关资质和联系方式。</w:t>
      </w:r>
    </w:p>
    <w:p w14:paraId="1874D55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第十二条 需进行招标的项目，出现下列情形之一的，由项目单位提出申请，报招标领导小组副组长及组长签批同意后，可以组织相关人员进行谈判采购：</w:t>
      </w:r>
    </w:p>
    <w:p w14:paraId="55288B3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（一）需要采用不可替代的专利或专有技术的；</w:t>
      </w:r>
    </w:p>
    <w:p w14:paraId="0F71DAC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（二）涉及抢险、抢修、救灾，情况紧急无法招标的；</w:t>
      </w:r>
    </w:p>
    <w:p w14:paraId="1DE2F2A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（三）公开招标连续两次招标失败的；</w:t>
      </w:r>
    </w:p>
    <w:p w14:paraId="26842C9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（四）潜在投标人低于3家的；</w:t>
      </w:r>
    </w:p>
    <w:p w14:paraId="37AF659D">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（五）需要向原中标人采购工程、货物或者服务，否则将影响施工或者功能配套要求的，包括从主机厂或主机配套厂采购部件、配件的，以及需要原供应商或原生产厂对设备或系统进行升级、改造、维修的；</w:t>
      </w:r>
    </w:p>
    <w:p w14:paraId="5ED9F9D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（六）已通过招标方式选定的特许经营项目投资人依法能够自行建设、生产或者提供的；</w:t>
      </w:r>
    </w:p>
    <w:p w14:paraId="6B51D98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（七）国家规定的其他情形；</w:t>
      </w:r>
    </w:p>
    <w:p w14:paraId="3E142ED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（八）其他经招标领导小组批准的项目；</w:t>
      </w:r>
    </w:p>
    <w:p w14:paraId="275603E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项目申请单位应提供邀请单位的相关资质和联系方式。</w:t>
      </w:r>
    </w:p>
    <w:p w14:paraId="29DFF920">
      <w:pPr>
        <w:keepNext w:val="0"/>
        <w:keepLines w:val="0"/>
        <w:pageBreakBefore w:val="0"/>
        <w:widowControl/>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第十三条 未达到招标规模标准的采购项目，可以采用非招标采购方式实施。非招标采购方式包括询比、竞价、竞争性谈判和单一来源等。</w:t>
      </w:r>
    </w:p>
    <w:p w14:paraId="10651C6A">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第十四条 公司招投标活动采用电子招投标，实现发布招标公告公示，完善开标、评标固定场所，配备监控设施，对开标、评标活动实行全过程监控。逐步实现发布招标公告公示、下载招标文件、提交投标文件、开标、评标、异议澄清补正、文件归档等全流程电子化。</w:t>
      </w:r>
    </w:p>
    <w:p w14:paraId="11FFD58B">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第五章 招标、开标、评标与定标</w:t>
      </w:r>
    </w:p>
    <w:p w14:paraId="1EAFF078">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第十五条 公司实行招标项目负责制。为保证采购项目如期完成，申请单位应当明确招标项目负责人，准确编制项目招标申请及采购需求。</w:t>
      </w:r>
    </w:p>
    <w:p w14:paraId="5EA8DD3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第十六条 项目申请单位编制的招标申请及采购需求等资料应包含完整、准确、清晰的项目需求，按照标准化、通用化的原则编制，并对提报的招标资料负责。招标项目申请应当包括但不限于下列内容：</w:t>
      </w:r>
    </w:p>
    <w:p w14:paraId="0F3AAA7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（一）招标项目需实现的功能或者目标；</w:t>
      </w:r>
    </w:p>
    <w:p w14:paraId="58A9A4BD">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（二）招标项目需执行的国家相关标准、行业标准或者其他标准规范；</w:t>
      </w:r>
    </w:p>
    <w:p w14:paraId="7F21D1E1">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（三）招标项目需满足的质量、安全、相关参数、配置等要求的技术规格书，或者工程建设项目的工程项目书、方案设计、施工图纸或工程量清单等；</w:t>
      </w:r>
    </w:p>
    <w:p w14:paraId="4F7DA22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（四）明确的需求清单，包括标的物的数量、交付或者实施 的时间、地点和验收标准，对投标人资格审查的标准、投标报价要求、评标标准和方法，以及最高投标限价；拟签订合同的主要条款；</w:t>
      </w:r>
    </w:p>
    <w:p w14:paraId="21C3282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（五）合理设置支持科技创新、节约能源资源、生态环保等方面的要求和条件；</w:t>
      </w:r>
    </w:p>
    <w:p w14:paraId="56E86CE2">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（六）项目如需设置最高投标限价，需编制价格组成说明，并经车间负责人、部门负责人、分管领导签字审核。</w:t>
      </w:r>
    </w:p>
    <w:p w14:paraId="2DA5F896">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（七）其他技术、服务等要求。</w:t>
      </w:r>
    </w:p>
    <w:p w14:paraId="533E6E3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第十七条 上列内容需经业务单位、分管副总经理审批，应按照下列要求附审批意见：</w:t>
      </w:r>
    </w:p>
    <w:p w14:paraId="1D16A75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（一）设备类项目，设备设计图纸、技术方案及具体采购要求等由设备管理部主要负责人、分管副总经理签批。</w:t>
      </w:r>
    </w:p>
    <w:p w14:paraId="091DB3E2">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（二）工程类项目，基础设计及技术方案等由项目部门负责人、分管副总经理、工程技术人员、总工程师签批。</w:t>
      </w:r>
    </w:p>
    <w:p w14:paraId="538A965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（三）生产性材料类项目，由申请管理单位主要负责人、分管副总经理签批，销售采购部并出具区间参考价和建议。</w:t>
      </w:r>
    </w:p>
    <w:p w14:paraId="06B5FB5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（四）其他通用类物资、服务等采购由所属部门主要负责人、分管副总经理签批。</w:t>
      </w:r>
    </w:p>
    <w:p w14:paraId="0E77345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（五）重大项目和技术复杂项目经公司会议研究决策后，由副总经理或总经理组织相关业务管理部门对项目单位编制的方案进行审查确定后，方可进入招标程序。</w:t>
      </w:r>
    </w:p>
    <w:p w14:paraId="0E20706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第十八条 编制技术标准和要求必须遵循下列原则</w:t>
      </w:r>
    </w:p>
    <w:p w14:paraId="0D852E76">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（一）科学合理、全面反映使用需求的原则。严禁盲目提高标准、性能和精度，避免带来功能浪费和不必要的资金支出。</w:t>
      </w:r>
    </w:p>
    <w:p w14:paraId="49540ED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公平竞争、不得出现歧视性内容的原则。技术要求和标准不得要求或标明某一特定的专利、商标、名称、设计、原产地或生产供应者，不得含有倾向或者排斥潜在投标人的其他内容。如果必须引用某一生产供应商的技术要求和标准才能准确或清楚地说明招标项目的技术要求和标准时，则应在参照后面加上“或相当于”字样。</w:t>
      </w:r>
    </w:p>
    <w:p w14:paraId="38C9AA11">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第十九条 业务单位递交的招标项目申请，应当根据实际需要，综合考虑下列招标所需时间，及时、准确、完整地报送招标项目申请，上报集团公司招标项目需求时至少要提前4个月（按接收招标申请书时间算起），上报公司招标项目需求时至少要提前2个月（按已接收招标申请书时间算起），以免耽误正常的安全生产经营工作。</w:t>
      </w:r>
    </w:p>
    <w:p w14:paraId="2B8E19D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1.依法必须招标项目自招标文件发出之日起至投标人提交投标文件截止，不少于20日；</w:t>
      </w:r>
    </w:p>
    <w:p w14:paraId="0582AB92">
      <w:pPr>
        <w:keepNext w:val="0"/>
        <w:keepLines w:val="0"/>
        <w:pageBreakBefore w:val="0"/>
        <w:kinsoku/>
        <w:wordWrap/>
        <w:overflowPunct/>
        <w:topLinePunct w:val="0"/>
        <w:autoSpaceDE/>
        <w:autoSpaceDN/>
        <w:bidi w:val="0"/>
        <w:adjustRightInd/>
        <w:snapToGrid/>
        <w:spacing w:line="480" w:lineRule="exact"/>
        <w:ind w:firstLine="627" w:firstLineChars="196"/>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2.达到西北能化公司招标规模标准的项目，自招标文件发出之日起至投标人提交投标文件截止之日止，不得少于10日；</w:t>
      </w:r>
    </w:p>
    <w:p w14:paraId="00FCBEAF">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3.因项目单位在招标申请书及技术规格书等相关资料设置不合理条款，经招标办审核建议修改后，项目单位仍不修改相关条款导致多次流标或集团招标中心不予受理，影响项目进度的，扣减项目负责人绩效200元、部门（车间）绩效500元，由公司追究相关单位责任。</w:t>
      </w:r>
    </w:p>
    <w:p w14:paraId="2971533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4.招标申请书审查并反馈需修订的条款（含集团招标中心和职能部门），公司招标办下发招标审查回执函，项目申报部门3日内报送修订意见和相关证明资料，对招标相关条款项目申请单位不变更、不说明，影响项目进度的，扣减项目负责人绩效100元、部门（车间）绩效200元，由公司追究相关单位责任。</w:t>
      </w:r>
    </w:p>
    <w:p w14:paraId="3F775710">
      <w:pPr>
        <w:keepNext w:val="0"/>
        <w:keepLines w:val="0"/>
        <w:pageBreakBefore w:val="0"/>
        <w:kinsoku/>
        <w:wordWrap/>
        <w:overflowPunct/>
        <w:topLinePunct w:val="0"/>
        <w:autoSpaceDE/>
        <w:autoSpaceDN/>
        <w:bidi w:val="0"/>
        <w:adjustRightInd/>
        <w:snapToGrid w:val="0"/>
        <w:spacing w:line="480" w:lineRule="exact"/>
        <w:ind w:firstLine="640" w:firstLineChars="200"/>
        <w:textAlignment w:val="baseline"/>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5.项目单位未按时间要求履行招标程序，造成合同延期扣减项目部门（车间）绩效1000元处罚；对部门之间相互推脱等影响制度执行进行联责同等处罚，公司视问题严重情况将进行追查、追责，并对相关人员进行处罚。</w:t>
      </w:r>
    </w:p>
    <w:p w14:paraId="5F3D953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第二十条 招标办受理项目招标申请。对于拟采用邀请招标的申请，出现下列情形之一的，招标办可以予以退回，或要求申请单位加以完善：</w:t>
      </w:r>
    </w:p>
    <w:p w14:paraId="589296EE">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（一）受邀投标人不足 3 个的；</w:t>
      </w:r>
    </w:p>
    <w:p w14:paraId="0AB4FF88">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（二）受邀投标人不满足投标资格条件的；</w:t>
      </w:r>
    </w:p>
    <w:p w14:paraId="5CBBBA6E">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（三）受邀投标人被列入暂停、停止投标资格或失信企业名单的；投标人有相互关联的；</w:t>
      </w:r>
    </w:p>
    <w:p w14:paraId="28EBE661">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（四）影响招标实施的其他情形。 </w:t>
      </w:r>
    </w:p>
    <w:p w14:paraId="7CF1D79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第二十一条 制定评标方法和标准必须遵循下列原则</w:t>
      </w:r>
    </w:p>
    <w:p w14:paraId="64E909E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（一）公开、公平、公正原则。评标方法和标准应当对所有投标人一视同仁，不得含有倾向或者排斥潜在投标人的内容；</w:t>
      </w:r>
    </w:p>
    <w:p w14:paraId="5B2DF6E6">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（二）科学评估、质量优先、价格合理的原则；</w:t>
      </w:r>
    </w:p>
    <w:p w14:paraId="0D65CBC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（三）以客观事实为依据的原则。评分细则应以客观存在为评分依据，明确规定各评标因素在各种具体客观情况下的得分值；</w:t>
      </w:r>
    </w:p>
    <w:p w14:paraId="1547F65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（四）明确具体、方便评审的原则。评分细则切忌繁琐，不得将无法审定的事实作为评分依据；</w:t>
      </w:r>
    </w:p>
    <w:p w14:paraId="04C298BD">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严格控制自由裁量权的原则。评分细则中严禁出现“由评标委员会成员根据某某情况酌情打分”等字样，对确实难以用客观依据量化、细化的评分因素，应将评标委员会成员的自由裁量权控制在最小范围内；</w:t>
      </w:r>
    </w:p>
    <w:p w14:paraId="386A4D6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（六）避免与国家有关规定相抵触的原则。</w:t>
      </w:r>
    </w:p>
    <w:p w14:paraId="6128FC01">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第二十二条 评标方法一般采用综合评估法或经评审的最低投标价法。</w:t>
      </w:r>
    </w:p>
    <w:p w14:paraId="7C588F0C">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（一）综合评估法，按照招标文件规定的中标候选人数量，选择投标文件能够最大限度地满足招标文件中规定的各项综合评价标准的投标人为中标候选人的评标方法。</w:t>
      </w:r>
    </w:p>
    <w:p w14:paraId="6C74B3A5">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经评审的最低投标价法，按照招标文件规定的中标候选人数量，选择投标文件能够满足招标文件的实质性要求，并且经评审的投标价格最低的投标人为中标候选人的评标方法。一般适用于具有通用的技术、性能标准或对标的物的技术、性能没有特殊要求的项目。</w:t>
      </w:r>
    </w:p>
    <w:p w14:paraId="541CBD8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评审因素的设定应当与标的物的质量相关，包括投标报价、技术或者服务水平、售后服务等，且应当细化和量化到相应区间，并设置各区间对应的分值。 </w:t>
      </w:r>
    </w:p>
    <w:p w14:paraId="6DA08065">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第二十三条 招标办根据招标项目申请及技术要求，编制招标文件，及时发布公告。</w:t>
      </w:r>
    </w:p>
    <w:p w14:paraId="416A890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招标公告应当载明招标人的名称和地址、联系方式、招标项目的名称、内容、范围、规模、实施地点和时间、投标人资格条件要求及必须提供的证明文件要求、提交投标文件的截止时间和方式、评标方法以及获取招标文件的时间和方式、受理异议的联系人和联系方式等事项。邀请招标的项目，由向审查合格的邀请单位发出投标邀请书，投标邀请书参照招标公告的内容发出。</w:t>
      </w:r>
    </w:p>
    <w:p w14:paraId="2F1849A2">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第二十四条 对于潜在投标人在阅读招标文件或者踏勘现场中提出的疑问，申请部门要给予解答，对招标项目技术要求和标准等方面所作的更改要给予澄清、补充、修改的内容应当作为招标文件的组成部分。</w:t>
      </w:r>
    </w:p>
    <w:p w14:paraId="51CD8F2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投标人在提交投标文件的截止时间前，可以补充、修改或撤回已提交的投标文件，补充、修改的内容应当作为投标文件的组成部分。</w:t>
      </w:r>
    </w:p>
    <w:p w14:paraId="55F90FE6">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投标人的投标文件应当按照招标文件的要求加盖投标人印章，并由其法定代表人或者其委托代理人签署后，按照要求进行密封和标注，在提交投标文件的截止时间前，送达指定的投标地点、邮箱或提交电子招标投标平台。</w:t>
      </w:r>
    </w:p>
    <w:p w14:paraId="4EE3D0C2">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第二十五条 有下列情形之一的，招标办应当拒收投标文件：</w:t>
      </w:r>
    </w:p>
    <w:p w14:paraId="14CC7307">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（一）超过截止时间送达的；</w:t>
      </w:r>
    </w:p>
    <w:p w14:paraId="0265912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（二）未按招标文件要求密封和标志的；</w:t>
      </w:r>
    </w:p>
    <w:p w14:paraId="0D7DAB08">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（三）采用资格预审办法招标的，未通过资格预审申请人提交的；</w:t>
      </w:r>
    </w:p>
    <w:p w14:paraId="2917180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（四）采用邀请招标的，不是所邀请的投标人提交的；</w:t>
      </w:r>
    </w:p>
    <w:p w14:paraId="76022912">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（五）法律法规规定的其他情形。</w:t>
      </w:r>
    </w:p>
    <w:p w14:paraId="4BEE97E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第二十六条 招标办应当按照招标文件指定的时间和地点或发出招标文件的电子招标投标平台公开开标或者解密、唱标。现场开标的，投标人自主选择参加；实行电子开标的，所有投标人应当在线参加。参加开标会所有人员应当自觉遵守会场纪律。</w:t>
      </w:r>
    </w:p>
    <w:p w14:paraId="1B45E58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第二十七条 招标办应当在开标前24小时以内组建评标委员会及监督成员。评标委员会成员应为5人以上单数，其中技术、经济或者法律等方面的专家不得少于成员总数的三分之二；对于通用产品、原材料等采用经评审的最低投标价法进行评标或者谈判项目，评标委员会成员应为3人以上单数；评标具体人员由分管副总经理、副总师或部门负责人审定，招标办对评标人员进行考评。</w:t>
      </w:r>
    </w:p>
    <w:p w14:paraId="4D3627C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default"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注：日常考评中，评标人员出现上述考评中不当行为一次的，招标监督人员现场应予以口头警告；情节严重的，上报问责，并扣减绩效200元/次。见附件5《评标人员考评表》</w:t>
      </w:r>
    </w:p>
    <w:p w14:paraId="6382AAB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第二十八条 评标由评标委员会负责。评标委员会成员应当客观、公正、勤勉地履行职务，遵守职业道德，对所提出的评审意见承担个人责任。任何单位和个人不得干预、影响评委评标和评标结果。评标委员会主任由评标委员会成员自主推荐1名评委担任，评标委员会主任负责组织与协调评标委员会工作。</w:t>
      </w:r>
    </w:p>
    <w:p w14:paraId="26DBAC9C">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评标委员会应当按照招标文件制定的评标方法和标准，对投标文件进行客观、公正地评审和比较：</w:t>
      </w:r>
    </w:p>
    <w:p w14:paraId="5479A1C1">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（一）评标委员会发现招标文件存在歧义、重大缺陷导致评标工作无法进行，应当停止评标工作。招标办做出书面记录，项目申请单位对相应条款进行变更，招标办按照变更申请修订招标文件，重新招标。</w:t>
      </w:r>
    </w:p>
    <w:p w14:paraId="593F5515">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（二）评标委员会对投标文件进行形式、资格、响应性审查， 投标文件是否对招标文件提出的所有实质性要求和条件作出响应，未能作出实质响应的投标，应当予以否决；</w:t>
      </w:r>
    </w:p>
    <w:p w14:paraId="6DAFFD0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评标委员会可以要求投标人以书面形式对投标文件中含义不明确的内容以及明显文字或者计算错误做必要的澄清、说明、补充或者修改。但是澄清、说明、补充或者修改不得超出投标文件的范围或者改变投标文件的实质性内容；</w:t>
      </w:r>
    </w:p>
    <w:p w14:paraId="138A5BFF">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（四）投标人的报价可能影响履约的异常低价的，评标成员应当要求投标人以书面形式作澄清或说明，并提供必要的证明材料。投标人不能说明其报价合理性的，评标委员会可以否决其投标；</w:t>
      </w:r>
    </w:p>
    <w:p w14:paraId="3DF7FB83">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（五）评标委员会发现投标人有串通投标等其他方式弄虚作假投标的，应当否决该投标人的投标；</w:t>
      </w:r>
    </w:p>
    <w:p w14:paraId="6D789B11">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（六）评标委员发现投标人投标资料弄虚作假的，或法律法规和招标文件规定的投标无效的情形，应当否决该投标人的投标。</w:t>
      </w:r>
    </w:p>
    <w:p w14:paraId="46E1CA25">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（七）评标委员会发现投标人违反《关于规范国有企业职工持股、投资的意见》（国资发改革[2008]139号）相关规定的，应当否决该投标人的投标。</w:t>
      </w:r>
    </w:p>
    <w:p w14:paraId="5F14C7B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第二十九条 首次招标发布招标公告后，如出现以下情形之一，应当重新招标：</w:t>
      </w:r>
    </w:p>
    <w:p w14:paraId="3B3F260E">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（一）购买招标文件的潜在投标人少于3个的；</w:t>
      </w:r>
    </w:p>
    <w:p w14:paraId="00A3A7C1">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（二）按时递交投标文件的投标人少于3个的；</w:t>
      </w:r>
    </w:p>
    <w:p w14:paraId="2167413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（三）递交投标文件的投标人不少于3个的，经评审、所有投标人均不符合招标文件要求的；</w:t>
      </w:r>
    </w:p>
    <w:p w14:paraId="113E04B3">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（四）递交投标文件的投标人不少于3个，经评审、仅有1个投标人或2个投标人满足招标文件要求，但投标报价明显与市场价格不相符或高于概算（预算），不适宜继续评标的。</w:t>
      </w:r>
    </w:p>
    <w:p w14:paraId="1346EF9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首次招标失败后，项目采购单位对招标相关条款是否变更并形成书面报告并签字，3日内报送招标办。无书面报告招标办不得组织重新招标。</w:t>
      </w:r>
    </w:p>
    <w:p w14:paraId="2362BB5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第三十条 招标中如出现按时递交投标文件的投标人不少于3个的，经评标委员会评审，仅有1个投标人或2个投标人满足招标文件要求，且投标报价符合市场价格和项目概算（预算），评标委员会可以继续评标。</w:t>
      </w:r>
    </w:p>
    <w:p w14:paraId="1DBA4A12">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第三十一条 重新招标后，出现递交投标文件的投标人少于3个的，可以再次招标；也可以由评标委员会宣布终止招标程序，在履行采购方式转换审批程序后，按照原招标文件约定以及递交投标文件的所有投标人实际数量，选择转换实施竞争性谈判或单一来源，其结果仍按照招标结果进行管理和统计。经评审有效投标人为2个的实施竞争性谈判，有效投标人为1个的实施单一来源谈判。</w:t>
      </w:r>
    </w:p>
    <w:p w14:paraId="0EB8529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竞争性谈判或单一来源谈判应当以项目申请书和投标文件为基础，最终价格原则上不得高于标的物概算（预算）和市场价格。</w:t>
      </w:r>
    </w:p>
    <w:p w14:paraId="504650D3">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第二次招标后，出现递交投标文件少于3个的，</w:t>
      </w:r>
    </w:p>
    <w:p w14:paraId="3497938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第三十二条 公司组织招标项目出现前条规定的情形采取其他采购方式时，由项目（采购）单位提出采购方式变更申请，报招标领导小组副组长及组长签批同意后，交招标办组织实施。当时不能完成签批手续的，在3个工作日内补充完善手续。</w:t>
      </w:r>
    </w:p>
    <w:p w14:paraId="36041868">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第三十三条 评标委员会完成评标后，应当提出书面评标报告，如实记载评标内容，依据招标文件或国家规定确定中标候选人或者推荐不超过3个中标候选人。评标报告由评标委员会全体成员、监督人员签字。评标委员会成员不超过总人数三分之一的对评标报告不签字但又不说明理由的，视为同意评标报告。</w:t>
      </w:r>
    </w:p>
    <w:p w14:paraId="5629309C">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评标委员会成员对需要共同认定的事项存在争议时，应当按照少数服从多数的原则作出结论。但评标委员会成员对技术等方面提出具有实质性影响的异议或者出现重大分歧意见，应当暂停并封标，报招标领导小组审批，待相关情况确认后，再继续评标。</w:t>
      </w:r>
    </w:p>
    <w:p w14:paraId="053AC0E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第三十四条 评标结果汇总完成后，除下列情形外，任何人不得修改评标结果：</w:t>
      </w:r>
    </w:p>
    <w:p w14:paraId="3A07AE98">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（一）分值汇总计算错误的。</w:t>
      </w:r>
    </w:p>
    <w:p w14:paraId="53C1D20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（二）分项评分超出评分标准范围的。</w:t>
      </w:r>
    </w:p>
    <w:p w14:paraId="4DA394C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（三）评标委员会成员对客观评审因素评分不一致的。</w:t>
      </w:r>
    </w:p>
    <w:p w14:paraId="178FC3FB">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（四）经评标委员会认定评分畸高、畸低的。</w:t>
      </w:r>
    </w:p>
    <w:p w14:paraId="015E2950">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评标报告签署前，经复核发现存在以上情形之一的，评标委员会应当当场修改评标结果，并在评标报告中记载；评标报告签署后，招标办发现存在以上情形之一的，应当组织原评标委员会进行重新评审，重新评审改变评标结果的，书面报告招标领导小组。</w:t>
      </w:r>
    </w:p>
    <w:p w14:paraId="14638D3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第三十五条 参加开标、评标活动的人员不得泄露投标文件和评审、中标候选人的推荐等与开标、评标活动有关的任何情况，不得将评标过程中涉及的资料或者数据信息等带离评标区域。</w:t>
      </w:r>
    </w:p>
    <w:p w14:paraId="4A2D8F29">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第三十六条 开标、评标过程中使用的文件、表格，连同评标报告等资料由招标办负责收集、整理、存档和归档。</w:t>
      </w:r>
    </w:p>
    <w:p w14:paraId="50D9F9DD">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第三十七条 评标结束后，应在发布招标公告的媒介上对中标候选人以符合规定的方式及时进行公示，公示期不得少于3日。公示期截止，没有异议的，依据招标文件或国家规定确定中标人，发布中标公告，并向中标人发出中标通知书；同时通知未中标的投标人。中标人放弃中标、因不可抗力不能履行合同、不按照招标文件要求提供履约担保，被查实存在影响中标结果的违法行为，或者公示期间产生相关问题导致中标候选人资格取消，可以根据评标委员会推荐的中标候选人排名顺序确定中标人，也可以重新组织招标。</w:t>
      </w:r>
    </w:p>
    <w:p w14:paraId="55536CE6">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第三十八条 中标人应当在接到中标通知之日起，10日以内领取中标通知书；逾期不领取的，视为放弃中标。</w:t>
      </w:r>
    </w:p>
    <w:p w14:paraId="7C8596AE">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中标人应当在接到中标通知之日起，中标人应当自领取中标通知书之日起30日以内，与招标方签订合同；逾期不签订的，视为放弃中标。但因招标方造成的推迟除外，需有项目分管领导签署原因说明。</w:t>
      </w:r>
    </w:p>
    <w:p w14:paraId="2BF29D54">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中标通知发出后，中标人放弃中标项目的，无正当理由不与招标人签订合同的，在签订合同时向招标人提出附加条件或者更改合同实质性内容的，或者拒不提交所要求的履约保证金的，招标人可以取消其中标资格，没收其投标保证金，一年内不允许参加本企业招标项目。</w:t>
      </w:r>
    </w:p>
    <w:p w14:paraId="158A6CC5">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项目采购单位和中标人应当按照招标文件、中标人的投标文件、澄清函和中标通知书及时订立书面合同（含技术协议）。所订立的合同不得对招标文件和中标人的投标文件作出实质性修改，不得另行订立背离合同实质性内容的其他协议。</w:t>
      </w:r>
    </w:p>
    <w:p w14:paraId="7A7B7F7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项目单位应当30日内与中标方签订合同，超期扣减部门绩效2000元、项目负责人绩效500元，加强合同履约过程的实施和管理，防止违法违规行为发生。</w:t>
      </w:r>
    </w:p>
    <w:p w14:paraId="109D1064">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招标文件要求中标人交纳履约保证金的，中标人应当交纳；拒绝交纳的，视为放弃中标。</w:t>
      </w:r>
    </w:p>
    <w:p w14:paraId="748A88F1">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第六章 招标收费</w:t>
      </w:r>
    </w:p>
    <w:p w14:paraId="01B483BC">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第三十九条 向中标人收取的中标服务费，按照集团公司[2024]132号招投标管理办法附表8规定标准收取。用于发放评委评审费及招标活动中的费用支出，其中评审费评标委员会组长每次按150元，组员每次按100元。</w:t>
      </w:r>
    </w:p>
    <w:p w14:paraId="052E7248">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第四十条 招标活动中费用支出项目主要包括：招标文件及其附件印刷费用、会务费用、评委费用、培训费用等。各项费用支出总额应控制在所收取的总费用内，不得超支。</w:t>
      </w:r>
    </w:p>
    <w:p w14:paraId="61E2E35D">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第七章 投诉与处理</w:t>
      </w:r>
    </w:p>
    <w:p w14:paraId="583941E3">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第四十一条 投标人或者其他利害关系人认为招标投标活动不符合法律、行政法规规定的，可在应当知道之日起10日内向公司招标办投诉。投诉应当有明确的请求和必要的证明材料。投诉人投诉时，应当提交投诉书。投诉书应包括以下内容： </w:t>
      </w:r>
    </w:p>
    <w:p w14:paraId="27A18D9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（一）投诉人名称、地址和有效联系方式； </w:t>
      </w:r>
    </w:p>
    <w:p w14:paraId="7BC19173">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（二）被投诉人名称、地址和有效联系方式； </w:t>
      </w:r>
    </w:p>
    <w:p w14:paraId="4BF5E07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（三）投诉事项的基本事实； </w:t>
      </w:r>
    </w:p>
    <w:p w14:paraId="32B005AD">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（四）投诉诉求和主张事项； </w:t>
      </w:r>
    </w:p>
    <w:p w14:paraId="25D6814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（五）有效线索和相关证明材料。 </w:t>
      </w:r>
    </w:p>
    <w:p w14:paraId="312A934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第四十二条 有下列情形之一的，不予受理： </w:t>
      </w:r>
    </w:p>
    <w:p w14:paraId="4960E8C1">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（一）投诉人不是所投诉招标活动的参与者，或者与投诉项目无任何利害关系； </w:t>
      </w:r>
    </w:p>
    <w:p w14:paraId="25CE056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（二）投诉事项不具体，且未提供有效线索，无法查证的； </w:t>
      </w:r>
    </w:p>
    <w:p w14:paraId="6BB26A0E">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（三）投诉书未署具投诉人真实姓名、签字和有效联系方式的；以法人名义投诉的，投诉书未经法定代表人签字并加盖公章的；</w:t>
      </w:r>
    </w:p>
    <w:p w14:paraId="369B7DE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（四）超过投诉时效的； </w:t>
      </w:r>
    </w:p>
    <w:p w14:paraId="063A6A5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（五）已经作出处理决定，并且投诉人没有提出新的证据； </w:t>
      </w:r>
    </w:p>
    <w:p w14:paraId="0A0DD6B6">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（六）投诉事项应先提出异议，没有提出异议，已进入诉讼程序的。</w:t>
      </w:r>
    </w:p>
    <w:p w14:paraId="4FF2AE73">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 xml:space="preserve">第四十三条 公司应当自收到投诉之日起 3 个工作日内决定是否受理投诉，并自受理投诉之日起 30个工作日内作出书面处理决定。对于上级部门转交的投诉件，以收到该转交投诉件为收到投诉书之日算起。投诉处理可以进行必要的调查、核验和取证等，所需时间不计算在处理时限内。 </w:t>
      </w:r>
    </w:p>
    <w:p w14:paraId="2C1B63A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第四十四条 公司招标办会同监督组织、项目申请单位，根据调查和取证情况，对投诉事项进行审查，审查结果上报公司招投标领导小组按照下列规定作出处理决定：</w:t>
      </w:r>
    </w:p>
    <w:p w14:paraId="31CB748F">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（一）投诉人捏造事实、伪造材料或者以非法手段取得证明材料进行投诉的，应当予以驳回，投诉人1年内不准参加公司招投标活动。</w:t>
      </w:r>
    </w:p>
    <w:p w14:paraId="654358D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（二）投诉情况属实，招标投标活动确实存在违法行为的，依据《中华人民共和国招标投标法》《中华人民共和国招标投标法实施条例》及其他有关法规、规章作出处罚。</w:t>
      </w:r>
    </w:p>
    <w:p w14:paraId="63B3B6C6">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第四十五条 公司对投诉进行调查处理时，相关部门和人员应积极配合，如实提供所要查阅的音像和文字、图表等资料。</w:t>
      </w:r>
    </w:p>
    <w:p w14:paraId="0077AA24">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第八章 责任追究</w:t>
      </w:r>
    </w:p>
    <w:p w14:paraId="09C6E34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第四十六条 项目（采购）部门、有关管理部门及参加招投标活动的工作人员必须严格保守招投标活动中的秘密，坚持公开、公平、公正原则。</w:t>
      </w:r>
    </w:p>
    <w:p w14:paraId="2E08BC42">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第四十七条 项目申请单位和参加招标投标活动的工作人员有下列违规违纪行为之一的，依规进行处理：</w:t>
      </w:r>
    </w:p>
    <w:p w14:paraId="202B033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（一）将必须进行招标的项目化整为零或者以其他任何方式规避招标的；</w:t>
      </w:r>
    </w:p>
    <w:p w14:paraId="2D26040B">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（二）未经规定审批同意，将必须进行招标的项目未进行招标，或者将必须公开招标的项目未进行公开招标的；</w:t>
      </w:r>
    </w:p>
    <w:p w14:paraId="2675F3A6">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（三）泄露应当保密的与招标投标活动有关的情况、资料；</w:t>
      </w:r>
    </w:p>
    <w:p w14:paraId="1610FABD">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（四）与投标人串通招标或者在招标投标活动中弄虚作假造成不良后果的；</w:t>
      </w:r>
    </w:p>
    <w:p w14:paraId="246FF52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（五）不按照招标文件和中标人的投标文件与中标人订立合同，或者与中标人另行订立背离合同实质性内容的其他协议的；</w:t>
      </w:r>
    </w:p>
    <w:p w14:paraId="761D664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（六）利用职权谋取私利、收受贿赂的；</w:t>
      </w:r>
    </w:p>
    <w:p w14:paraId="60E95FF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（七）严重影响招标投标活动正常开展的其他违规违纪行为。</w:t>
      </w:r>
    </w:p>
    <w:p w14:paraId="741432F7">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第四十八条 投标人有下列违规违纪行为之一的，视情况可以取消中标资格、解除或终止履行合同，扣除投标保证金等，在备选投标人信息库中标记取消投标资格，一年内不允许参加本企业招标项目；构成犯罪的，依法追究刑事责任：</w:t>
      </w:r>
    </w:p>
    <w:p w14:paraId="45F4279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（一）投标人在投标截止后撤销投标文件的；投标人之间串通投标，或者投标人与项目单位、人员串通投标的；</w:t>
      </w:r>
    </w:p>
    <w:p w14:paraId="429EA6A4">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（二）弄虚作假，以行贿等非法手段谋取中标的；</w:t>
      </w:r>
    </w:p>
    <w:p w14:paraId="5B6BA78F">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（三）投标人和招标人相互勾结进行不公平竞争的；</w:t>
      </w:r>
    </w:p>
    <w:p w14:paraId="4C080BD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（四）被确定中标后，中标人放弃中标项目的，无正当理由不按要求签订合同；在签订合同时向招标人提出附加条件或者更改合同实质性内容的；不按照招标文件要求提交履约保证金的；</w:t>
      </w:r>
    </w:p>
    <w:p w14:paraId="6BBA15DC">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（五）未按照招标文件的要求实施，与投标承诺严重不符并拒不改正的；</w:t>
      </w:r>
    </w:p>
    <w:p w14:paraId="5CE576F5">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（六）擅自将中标的工程项目转包或者违反规定进行分包的；</w:t>
      </w:r>
    </w:p>
    <w:p w14:paraId="6A116D5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（七）捏造事实、伪造材料或者以非法手段取得证明材料进行诬陷投诉的；</w:t>
      </w:r>
    </w:p>
    <w:p w14:paraId="399CA8BA">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（八）违反法律法规规定的其它情形。</w:t>
      </w:r>
    </w:p>
    <w:p w14:paraId="412EE1C4">
      <w:pPr>
        <w:pStyle w:val="4"/>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color w:val="000000" w:themeColor="text1"/>
          <w:kern w:val="2"/>
          <w:sz w:val="32"/>
          <w:szCs w:val="32"/>
          <w:lang w:val="en-US" w:eastAsia="zh-CN" w:bidi="ar-SA"/>
          <w14:textFill>
            <w14:solidFill>
              <w14:schemeClr w14:val="tx1"/>
            </w14:solidFill>
          </w14:textFill>
        </w:rPr>
      </w:pPr>
      <w:r>
        <w:rPr>
          <w:rFonts w:hint="eastAsia" w:ascii="黑体" w:hAnsi="黑体" w:eastAsia="黑体" w:cs="黑体"/>
          <w:color w:val="000000" w:themeColor="text1"/>
          <w:kern w:val="2"/>
          <w:sz w:val="32"/>
          <w:szCs w:val="32"/>
          <w:lang w:val="en-US" w:eastAsia="zh-CN" w:bidi="ar-SA"/>
          <w14:textFill>
            <w14:solidFill>
              <w14:schemeClr w14:val="tx1"/>
            </w14:solidFill>
          </w14:textFill>
        </w:rPr>
        <w:t>第九章 附则</w:t>
      </w:r>
    </w:p>
    <w:p w14:paraId="3E97E1A9">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第四十九条 本办法规定副总经理签批的，如副总经理调离或未任命前，由分管副总师签批。</w:t>
      </w:r>
    </w:p>
    <w:p w14:paraId="63B8F8D8">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第五十条 西北能化公司招标投标管理办法未尽条款，可以依据集团公司〔2024〕132号文执行。</w:t>
      </w:r>
    </w:p>
    <w:p w14:paraId="4A2F5840">
      <w:pPr>
        <w:pStyle w:val="4"/>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第五十一条 本办法自下发之日起开始施行，原西北能化经营〔2025〕2号西北能化公司2025年经营管理与监督考核实施意见中附件16《招投标管理办法》同时废止。</w:t>
      </w:r>
    </w:p>
    <w:p w14:paraId="26AA64BC">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p>
    <w:p w14:paraId="225DC650">
      <w:pPr>
        <w:keepNext w:val="0"/>
        <w:keepLines w:val="0"/>
        <w:pageBreakBefore w:val="0"/>
        <w:kinsoku/>
        <w:wordWrap/>
        <w:overflowPunct/>
        <w:topLinePunct w:val="0"/>
        <w:autoSpaceDE/>
        <w:autoSpaceDN/>
        <w:bidi w:val="0"/>
        <w:adjustRightInd/>
        <w:snapToGrid/>
        <w:spacing w:line="480" w:lineRule="exact"/>
        <w:ind w:firstLine="640" w:firstLineChars="200"/>
        <w:textAlignment w:val="auto"/>
        <w:rPr>
          <w:rFonts w:hint="eastAsia" w:ascii="仿宋_GB2312" w:hAnsi="楷体_GB2312" w:eastAsia="仿宋_GB2312" w:cs="Times New Roman"/>
          <w:color w:val="000000" w:themeColor="text1"/>
          <w:kern w:val="2"/>
          <w:sz w:val="32"/>
          <w:szCs w:val="32"/>
          <w:lang w:val="zh-CN"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附表：1.招标范围和规模标准一览表</w:t>
      </w:r>
    </w:p>
    <w:p w14:paraId="028DBAA4">
      <w:pPr>
        <w:keepNext w:val="0"/>
        <w:keepLines w:val="0"/>
        <w:pageBreakBefore w:val="0"/>
        <w:kinsoku/>
        <w:wordWrap/>
        <w:overflowPunct/>
        <w:topLinePunct w:val="0"/>
        <w:autoSpaceDE/>
        <w:autoSpaceDN/>
        <w:bidi w:val="0"/>
        <w:adjustRightInd/>
        <w:snapToGrid/>
        <w:spacing w:line="480" w:lineRule="exact"/>
        <w:ind w:firstLine="1600" w:firstLineChars="5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2.西北能化公司邀请招标申请表</w:t>
      </w:r>
    </w:p>
    <w:p w14:paraId="123DD550">
      <w:pPr>
        <w:keepNext w:val="0"/>
        <w:keepLines w:val="0"/>
        <w:pageBreakBefore w:val="0"/>
        <w:kinsoku/>
        <w:wordWrap/>
        <w:overflowPunct/>
        <w:topLinePunct w:val="0"/>
        <w:autoSpaceDE/>
        <w:autoSpaceDN/>
        <w:bidi w:val="0"/>
        <w:adjustRightInd/>
        <w:snapToGrid/>
        <w:spacing w:line="480" w:lineRule="exact"/>
        <w:ind w:firstLine="1600" w:firstLineChars="5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3.西北能化公司谈判招标申请表</w:t>
      </w:r>
    </w:p>
    <w:p w14:paraId="692D0639">
      <w:pPr>
        <w:keepNext w:val="0"/>
        <w:keepLines w:val="0"/>
        <w:pageBreakBefore w:val="0"/>
        <w:kinsoku/>
        <w:wordWrap/>
        <w:overflowPunct/>
        <w:topLinePunct w:val="0"/>
        <w:autoSpaceDE/>
        <w:autoSpaceDN/>
        <w:bidi w:val="0"/>
        <w:adjustRightInd/>
        <w:snapToGrid/>
        <w:spacing w:line="480" w:lineRule="exact"/>
        <w:ind w:firstLine="1600" w:firstLineChars="5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4.招标项目变更采购方式审批表</w:t>
      </w:r>
    </w:p>
    <w:p w14:paraId="4D9829D4">
      <w:pPr>
        <w:keepNext w:val="0"/>
        <w:keepLines w:val="0"/>
        <w:pageBreakBefore w:val="0"/>
        <w:kinsoku/>
        <w:wordWrap/>
        <w:overflowPunct/>
        <w:topLinePunct w:val="0"/>
        <w:autoSpaceDE/>
        <w:autoSpaceDN/>
        <w:bidi w:val="0"/>
        <w:adjustRightInd/>
        <w:snapToGrid/>
        <w:spacing w:line="480" w:lineRule="exact"/>
        <w:ind w:firstLine="1600" w:firstLineChars="5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5.评标人员考评表</w:t>
      </w:r>
    </w:p>
    <w:p w14:paraId="700A3708">
      <w:pPr>
        <w:keepNext w:val="0"/>
        <w:keepLines w:val="0"/>
        <w:pageBreakBefore w:val="0"/>
        <w:kinsoku/>
        <w:wordWrap/>
        <w:overflowPunct/>
        <w:topLinePunct w:val="0"/>
        <w:autoSpaceDE/>
        <w:autoSpaceDN/>
        <w:bidi w:val="0"/>
        <w:adjustRightInd/>
        <w:snapToGrid/>
        <w:spacing w:line="480" w:lineRule="exact"/>
        <w:ind w:firstLine="1600" w:firstLineChars="500"/>
        <w:textAlignment w:val="auto"/>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r>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t>6.人员推荐表</w:t>
      </w:r>
    </w:p>
    <w:p w14:paraId="3E27FEA1">
      <w:pPr>
        <w:jc w:val="left"/>
        <w:rPr>
          <w:rFonts w:hint="eastAsia" w:ascii="仿宋_GB2312" w:hAnsi="楷体_GB2312" w:eastAsia="仿宋_GB2312" w:cs="Times New Roman"/>
          <w:color w:val="000000" w:themeColor="text1"/>
          <w:kern w:val="2"/>
          <w:sz w:val="32"/>
          <w:szCs w:val="32"/>
          <w:lang w:val="en-US" w:eastAsia="zh-CN" w:bidi="ar-SA"/>
          <w14:textFill>
            <w14:solidFill>
              <w14:schemeClr w14:val="tx1"/>
            </w14:solidFill>
          </w14:textFill>
        </w:rPr>
      </w:pPr>
    </w:p>
    <w:p w14:paraId="45603270">
      <w:pPr>
        <w:jc w:val="left"/>
        <w:rPr>
          <w:rFonts w:hint="eastAsia" w:ascii="仿宋_GB2312" w:hAnsi="仿宋_GB2312" w:eastAsia="仿宋_GB2312" w:cs="仿宋_GB2312"/>
          <w:sz w:val="32"/>
          <w:szCs w:val="32"/>
        </w:rPr>
      </w:pPr>
    </w:p>
    <w:p w14:paraId="1CE780BC">
      <w:pPr>
        <w:jc w:val="left"/>
        <w:rPr>
          <w:rFonts w:hint="eastAsia" w:ascii="仿宋_GB2312" w:hAnsi="仿宋_GB2312" w:eastAsia="仿宋_GB2312" w:cs="仿宋_GB2312"/>
          <w:sz w:val="32"/>
          <w:szCs w:val="32"/>
        </w:rPr>
      </w:pPr>
    </w:p>
    <w:p w14:paraId="0FB6B2BE">
      <w:pPr>
        <w:jc w:val="left"/>
        <w:rPr>
          <w:rFonts w:hint="eastAsia" w:ascii="仿宋_GB2312" w:hAnsi="仿宋_GB2312" w:eastAsia="仿宋_GB2312" w:cs="仿宋_GB2312"/>
          <w:sz w:val="32"/>
          <w:szCs w:val="32"/>
        </w:rPr>
      </w:pPr>
    </w:p>
    <w:p w14:paraId="77DAF154">
      <w:pPr>
        <w:jc w:val="left"/>
        <w:rPr>
          <w:rFonts w:hint="eastAsia" w:ascii="仿宋_GB2312" w:hAnsi="仿宋_GB2312" w:eastAsia="仿宋_GB2312" w:cs="仿宋_GB2312"/>
          <w:sz w:val="32"/>
          <w:szCs w:val="32"/>
        </w:rPr>
      </w:pPr>
    </w:p>
    <w:p w14:paraId="6535555F">
      <w:pPr>
        <w:jc w:val="left"/>
        <w:rPr>
          <w:rFonts w:hint="eastAsia" w:ascii="仿宋_GB2312" w:hAnsi="仿宋_GB2312" w:eastAsia="仿宋_GB2312" w:cs="仿宋_GB2312"/>
          <w:sz w:val="32"/>
          <w:szCs w:val="32"/>
        </w:rPr>
      </w:pPr>
    </w:p>
    <w:p w14:paraId="68B9CF3B">
      <w:pPr>
        <w:jc w:val="left"/>
        <w:rPr>
          <w:rFonts w:hint="eastAsia" w:ascii="仿宋_GB2312" w:hAnsi="仿宋_GB2312" w:eastAsia="仿宋_GB2312" w:cs="仿宋_GB2312"/>
          <w:sz w:val="32"/>
          <w:szCs w:val="32"/>
        </w:rPr>
      </w:pPr>
    </w:p>
    <w:p w14:paraId="37DFF750">
      <w:pPr>
        <w:jc w:val="left"/>
        <w:rPr>
          <w:rFonts w:hint="eastAsia" w:ascii="仿宋_GB2312" w:hAnsi="仿宋_GB2312" w:eastAsia="仿宋_GB2312" w:cs="仿宋_GB2312"/>
          <w:sz w:val="32"/>
          <w:szCs w:val="32"/>
        </w:rPr>
      </w:pPr>
    </w:p>
    <w:p w14:paraId="47A0EAC8">
      <w:pPr>
        <w:jc w:val="left"/>
        <w:rPr>
          <w:rFonts w:hint="eastAsia" w:ascii="仿宋_GB2312" w:hAnsi="仿宋_GB2312" w:eastAsia="仿宋_GB2312" w:cs="仿宋_GB2312"/>
          <w:sz w:val="32"/>
          <w:szCs w:val="32"/>
        </w:rPr>
      </w:pPr>
    </w:p>
    <w:p w14:paraId="6188D85A">
      <w:pPr>
        <w:jc w:val="left"/>
        <w:rPr>
          <w:rFonts w:hint="eastAsia" w:ascii="仿宋_GB2312" w:hAnsi="仿宋_GB2312" w:eastAsia="仿宋_GB2312" w:cs="仿宋_GB2312"/>
          <w:sz w:val="32"/>
          <w:szCs w:val="32"/>
        </w:rPr>
      </w:pPr>
    </w:p>
    <w:p w14:paraId="639BCFBF">
      <w:pPr>
        <w:jc w:val="left"/>
        <w:rPr>
          <w:rFonts w:hint="eastAsia" w:ascii="仿宋_GB2312" w:hAnsi="仿宋_GB2312" w:eastAsia="仿宋_GB2312" w:cs="仿宋_GB2312"/>
          <w:sz w:val="32"/>
          <w:szCs w:val="32"/>
        </w:rPr>
      </w:pPr>
    </w:p>
    <w:p w14:paraId="12162BD7">
      <w:pPr>
        <w:jc w:val="left"/>
        <w:rPr>
          <w:rFonts w:hint="eastAsia" w:ascii="黑体" w:hAnsi="黑体" w:eastAsia="黑体" w:cs="黑体"/>
          <w:sz w:val="32"/>
          <w:szCs w:val="32"/>
        </w:rPr>
      </w:pPr>
      <w:r>
        <w:rPr>
          <w:rFonts w:hint="eastAsia" w:ascii="黑体" w:hAnsi="黑体" w:eastAsia="黑体" w:cs="黑体"/>
          <w:sz w:val="32"/>
          <w:szCs w:val="32"/>
        </w:rPr>
        <w:t>附表1</w:t>
      </w:r>
    </w:p>
    <w:p w14:paraId="779CA2EE">
      <w:pPr>
        <w:spacing w:before="312" w:beforeLines="100" w:after="312" w:afterLines="100"/>
        <w:jc w:val="center"/>
        <w:rPr>
          <w:rFonts w:hint="eastAsia" w:ascii="方正小标宋简体" w:hAnsi="宋体" w:eastAsia="方正小标宋简体" w:cs="宋体"/>
          <w:bCs/>
          <w:kern w:val="0"/>
          <w:sz w:val="40"/>
          <w:szCs w:val="40"/>
        </w:rPr>
      </w:pPr>
      <w:r>
        <w:rPr>
          <w:rFonts w:hint="eastAsia" w:ascii="方正小标宋简体" w:hAnsi="宋体" w:eastAsia="方正小标宋简体" w:cs="宋体"/>
          <w:bCs/>
          <w:kern w:val="0"/>
          <w:sz w:val="40"/>
          <w:szCs w:val="40"/>
        </w:rPr>
        <w:t>招标范围和规模标准一览表</w:t>
      </w:r>
    </w:p>
    <w:tbl>
      <w:tblPr>
        <w:tblStyle w:val="10"/>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2235"/>
        <w:gridCol w:w="2370"/>
        <w:gridCol w:w="2070"/>
      </w:tblGrid>
      <w:tr w14:paraId="0272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vAlign w:val="center"/>
          </w:tcPr>
          <w:p w14:paraId="4F237DC5">
            <w:pPr>
              <w:spacing w:line="400" w:lineRule="exact"/>
              <w:jc w:val="center"/>
              <w:rPr>
                <w:rFonts w:hint="eastAsia" w:ascii="宋体" w:hAnsi="宋体" w:cs="宋体"/>
                <w:b/>
                <w:bCs/>
                <w:kern w:val="0"/>
                <w:sz w:val="28"/>
                <w:szCs w:val="28"/>
              </w:rPr>
            </w:pPr>
            <w:r>
              <w:rPr>
                <w:rFonts w:hint="eastAsia" w:ascii="仿宋_GB2312" w:hAnsi="仿宋_GB2312" w:eastAsia="仿宋_GB2312" w:cs="仿宋_GB2312"/>
                <w:b/>
                <w:kern w:val="0"/>
                <w:sz w:val="28"/>
                <w:szCs w:val="28"/>
              </w:rPr>
              <w:t>报集团公司招标</w:t>
            </w:r>
          </w:p>
        </w:tc>
        <w:tc>
          <w:tcPr>
            <w:tcW w:w="2235" w:type="dxa"/>
            <w:vAlign w:val="center"/>
          </w:tcPr>
          <w:p w14:paraId="1F9CCB68">
            <w:pPr>
              <w:spacing w:line="400" w:lineRule="exact"/>
              <w:jc w:val="center"/>
              <w:rPr>
                <w:rFonts w:hint="eastAsia" w:ascii="宋体" w:hAnsi="宋体" w:cs="宋体"/>
                <w:b/>
                <w:bCs/>
                <w:kern w:val="0"/>
                <w:sz w:val="28"/>
                <w:szCs w:val="28"/>
              </w:rPr>
            </w:pPr>
            <w:r>
              <w:rPr>
                <w:rFonts w:hint="eastAsia" w:ascii="仿宋_GB2312" w:hAnsi="仿宋_GB2312" w:eastAsia="仿宋_GB2312" w:cs="仿宋_GB2312"/>
                <w:b/>
                <w:kern w:val="0"/>
                <w:sz w:val="28"/>
                <w:szCs w:val="28"/>
              </w:rPr>
              <w:t>规模标准（单项合同估价算价）</w:t>
            </w:r>
          </w:p>
        </w:tc>
        <w:tc>
          <w:tcPr>
            <w:tcW w:w="2370" w:type="dxa"/>
            <w:vAlign w:val="center"/>
          </w:tcPr>
          <w:p w14:paraId="5D340A47">
            <w:pPr>
              <w:spacing w:line="400" w:lineRule="exact"/>
              <w:jc w:val="center"/>
              <w:rPr>
                <w:rFonts w:hint="eastAsia"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西北能化公司招标</w:t>
            </w:r>
          </w:p>
        </w:tc>
        <w:tc>
          <w:tcPr>
            <w:tcW w:w="2070" w:type="dxa"/>
            <w:vAlign w:val="center"/>
          </w:tcPr>
          <w:p w14:paraId="307B3A28">
            <w:pPr>
              <w:spacing w:line="400" w:lineRule="exact"/>
              <w:jc w:val="center"/>
              <w:rPr>
                <w:rFonts w:hint="eastAsia" w:ascii="宋体" w:hAnsi="宋体" w:cs="宋体"/>
                <w:b/>
                <w:bCs/>
                <w:kern w:val="0"/>
                <w:sz w:val="28"/>
                <w:szCs w:val="28"/>
              </w:rPr>
            </w:pPr>
            <w:r>
              <w:rPr>
                <w:rFonts w:hint="eastAsia" w:ascii="仿宋_GB2312" w:hAnsi="仿宋_GB2312" w:eastAsia="仿宋_GB2312" w:cs="仿宋_GB2312"/>
                <w:b/>
                <w:kern w:val="0"/>
                <w:sz w:val="28"/>
                <w:szCs w:val="28"/>
              </w:rPr>
              <w:t>规模标准（单项合同估价算价）</w:t>
            </w:r>
          </w:p>
        </w:tc>
      </w:tr>
      <w:tr w14:paraId="69D9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vAlign w:val="center"/>
          </w:tcPr>
          <w:p w14:paraId="0E176A5E">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施工（矿建、土建、安装等）工程</w:t>
            </w:r>
          </w:p>
        </w:tc>
        <w:tc>
          <w:tcPr>
            <w:tcW w:w="2235" w:type="dxa"/>
            <w:vAlign w:val="center"/>
          </w:tcPr>
          <w:p w14:paraId="3358518C">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≥50万元</w:t>
            </w:r>
          </w:p>
        </w:tc>
        <w:tc>
          <w:tcPr>
            <w:tcW w:w="2370" w:type="dxa"/>
            <w:vAlign w:val="center"/>
          </w:tcPr>
          <w:p w14:paraId="5E3D3795">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施工（矿建、土建、安装等）工程</w:t>
            </w:r>
          </w:p>
        </w:tc>
        <w:tc>
          <w:tcPr>
            <w:tcW w:w="2070" w:type="dxa"/>
            <w:vAlign w:val="center"/>
          </w:tcPr>
          <w:p w14:paraId="6D8A3328">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≥30万元</w:t>
            </w:r>
          </w:p>
        </w:tc>
      </w:tr>
      <w:tr w14:paraId="78BA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vAlign w:val="center"/>
          </w:tcPr>
          <w:p w14:paraId="55FE10DF">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原（辅）材料、燃料、设备、备件等货物</w:t>
            </w:r>
          </w:p>
        </w:tc>
        <w:tc>
          <w:tcPr>
            <w:tcW w:w="2235" w:type="dxa"/>
            <w:vAlign w:val="center"/>
          </w:tcPr>
          <w:p w14:paraId="0EDA23C4">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≥50万元</w:t>
            </w:r>
          </w:p>
        </w:tc>
        <w:tc>
          <w:tcPr>
            <w:tcW w:w="2370" w:type="dxa"/>
            <w:vAlign w:val="center"/>
          </w:tcPr>
          <w:p w14:paraId="619AC721">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原（辅）材料、燃料、设备、备件等货物</w:t>
            </w:r>
          </w:p>
        </w:tc>
        <w:tc>
          <w:tcPr>
            <w:tcW w:w="2070" w:type="dxa"/>
            <w:vAlign w:val="center"/>
          </w:tcPr>
          <w:p w14:paraId="09D62E49">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≥30万元</w:t>
            </w:r>
          </w:p>
        </w:tc>
      </w:tr>
      <w:tr w14:paraId="6363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vAlign w:val="center"/>
          </w:tcPr>
          <w:p w14:paraId="1E0A751B">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咨询服务、评估服务、法律服务、审计服务、租赁服务等，以及勘察、设计、监理、技术开发等服务</w:t>
            </w:r>
          </w:p>
        </w:tc>
        <w:tc>
          <w:tcPr>
            <w:tcW w:w="2235" w:type="dxa"/>
            <w:vAlign w:val="center"/>
          </w:tcPr>
          <w:p w14:paraId="123B5D5C">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≥30万元</w:t>
            </w:r>
          </w:p>
        </w:tc>
        <w:tc>
          <w:tcPr>
            <w:tcW w:w="2370" w:type="dxa"/>
            <w:vAlign w:val="center"/>
          </w:tcPr>
          <w:p w14:paraId="0A795004">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咨询服务、评估服务、法律服务、审计服务、租赁服务等，以及勘察、设计、监理、技术开发等服务</w:t>
            </w:r>
          </w:p>
        </w:tc>
        <w:tc>
          <w:tcPr>
            <w:tcW w:w="2070" w:type="dxa"/>
            <w:vAlign w:val="center"/>
          </w:tcPr>
          <w:p w14:paraId="6AFF68C4">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≥20万元</w:t>
            </w:r>
          </w:p>
        </w:tc>
      </w:tr>
      <w:tr w14:paraId="5D45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vAlign w:val="center"/>
          </w:tcPr>
          <w:p w14:paraId="6AF79477">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运营维护、设备维修</w:t>
            </w:r>
          </w:p>
        </w:tc>
        <w:tc>
          <w:tcPr>
            <w:tcW w:w="2235" w:type="dxa"/>
            <w:vAlign w:val="center"/>
          </w:tcPr>
          <w:p w14:paraId="37077C49">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≥50万元</w:t>
            </w:r>
          </w:p>
        </w:tc>
        <w:tc>
          <w:tcPr>
            <w:tcW w:w="2370" w:type="dxa"/>
            <w:vAlign w:val="center"/>
          </w:tcPr>
          <w:p w14:paraId="3537DB74">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运营维护、设备维修</w:t>
            </w:r>
          </w:p>
        </w:tc>
        <w:tc>
          <w:tcPr>
            <w:tcW w:w="2070" w:type="dxa"/>
            <w:vAlign w:val="center"/>
          </w:tcPr>
          <w:p w14:paraId="3AEAD04D">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≥30万元</w:t>
            </w:r>
          </w:p>
        </w:tc>
      </w:tr>
      <w:tr w14:paraId="4CD5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3" w:type="dxa"/>
            <w:vAlign w:val="center"/>
          </w:tcPr>
          <w:p w14:paraId="5DD5992F">
            <w:pPr>
              <w:spacing w:line="400" w:lineRule="exact"/>
              <w:jc w:val="center"/>
              <w:rPr>
                <w:rFonts w:hint="eastAsia" w:ascii="仿宋" w:hAnsi="仿宋" w:eastAsia="仿宋" w:cs="仿宋"/>
                <w:bCs/>
                <w:kern w:val="0"/>
                <w:sz w:val="28"/>
                <w:szCs w:val="28"/>
              </w:rPr>
            </w:pPr>
            <w:r>
              <w:rPr>
                <w:rFonts w:hint="eastAsia" w:ascii="仿宋" w:hAnsi="仿宋" w:eastAsia="仿宋" w:cs="仿宋"/>
                <w:kern w:val="0"/>
                <w:sz w:val="28"/>
                <w:szCs w:val="28"/>
              </w:rPr>
              <w:t>重复性采购项目或不同实施主体的同类采购项目主要指单一货物或同一名称、同一品种货物（原辅材料、燃料、设备、备件等）</w:t>
            </w:r>
          </w:p>
        </w:tc>
        <w:tc>
          <w:tcPr>
            <w:tcW w:w="2235" w:type="dxa"/>
            <w:vAlign w:val="center"/>
          </w:tcPr>
          <w:p w14:paraId="666288E6">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≥50万元</w:t>
            </w:r>
          </w:p>
        </w:tc>
        <w:tc>
          <w:tcPr>
            <w:tcW w:w="2370" w:type="dxa"/>
            <w:vAlign w:val="center"/>
          </w:tcPr>
          <w:p w14:paraId="6D2ABDD0">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重复性采购项目或不同实施主体的同类采购项目主要指单一货物或同一名称、同一品种货物（原辅材料、燃料、设备、备件等）</w:t>
            </w:r>
          </w:p>
        </w:tc>
        <w:tc>
          <w:tcPr>
            <w:tcW w:w="2070" w:type="dxa"/>
            <w:vAlign w:val="center"/>
          </w:tcPr>
          <w:p w14:paraId="1BC0C1BC">
            <w:pPr>
              <w:spacing w:line="400" w:lineRule="exact"/>
              <w:jc w:val="center"/>
              <w:rPr>
                <w:rFonts w:hint="eastAsia" w:ascii="仿宋" w:hAnsi="仿宋" w:eastAsia="仿宋" w:cs="仿宋"/>
                <w:kern w:val="0"/>
                <w:sz w:val="28"/>
                <w:szCs w:val="28"/>
              </w:rPr>
            </w:pPr>
            <w:r>
              <w:rPr>
                <w:rFonts w:hint="eastAsia" w:ascii="仿宋" w:hAnsi="仿宋" w:eastAsia="仿宋" w:cs="仿宋"/>
                <w:kern w:val="0"/>
                <w:sz w:val="28"/>
                <w:szCs w:val="28"/>
              </w:rPr>
              <w:t>≥30 万元</w:t>
            </w:r>
          </w:p>
        </w:tc>
      </w:tr>
    </w:tbl>
    <w:p w14:paraId="25B21E69">
      <w:pPr>
        <w:jc w:val="left"/>
        <w:rPr>
          <w:rFonts w:hint="eastAsia" w:ascii="仿宋_GB2312" w:hAnsi="仿宋_GB2312" w:eastAsia="仿宋_GB2312" w:cs="仿宋_GB2312"/>
          <w:sz w:val="32"/>
          <w:szCs w:val="32"/>
        </w:rPr>
      </w:pPr>
    </w:p>
    <w:p w14:paraId="3D4559D1">
      <w:pPr>
        <w:jc w:val="left"/>
        <w:rPr>
          <w:rFonts w:hint="eastAsia" w:ascii="仿宋_GB2312" w:hAnsi="仿宋_GB2312" w:eastAsia="仿宋_GB2312" w:cs="仿宋_GB2312"/>
          <w:sz w:val="32"/>
          <w:szCs w:val="32"/>
        </w:rPr>
      </w:pPr>
    </w:p>
    <w:p w14:paraId="28937F31">
      <w:pPr>
        <w:jc w:val="left"/>
        <w:rPr>
          <w:rFonts w:hint="eastAsia" w:ascii="仿宋_GB2312" w:hAnsi="仿宋_GB2312" w:eastAsia="仿宋_GB2312" w:cs="仿宋_GB2312"/>
          <w:sz w:val="32"/>
          <w:szCs w:val="32"/>
        </w:rPr>
      </w:pPr>
    </w:p>
    <w:p w14:paraId="3D835397">
      <w:pPr>
        <w:jc w:val="left"/>
        <w:rPr>
          <w:rFonts w:hint="eastAsia" w:ascii="仿宋_GB2312" w:hAnsi="仿宋_GB2312" w:eastAsia="仿宋_GB2312" w:cs="仿宋_GB2312"/>
          <w:sz w:val="32"/>
          <w:szCs w:val="32"/>
        </w:rPr>
      </w:pPr>
    </w:p>
    <w:p w14:paraId="722AAB0F">
      <w:pPr>
        <w:jc w:val="left"/>
        <w:rPr>
          <w:rFonts w:hint="eastAsia" w:ascii="黑体" w:hAnsi="黑体" w:eastAsia="黑体" w:cs="黑体"/>
          <w:sz w:val="32"/>
          <w:szCs w:val="32"/>
        </w:rPr>
      </w:pPr>
      <w:r>
        <w:rPr>
          <w:rFonts w:hint="eastAsia" w:ascii="黑体" w:hAnsi="黑体" w:eastAsia="黑体" w:cs="黑体"/>
          <w:sz w:val="32"/>
          <w:szCs w:val="32"/>
        </w:rPr>
        <w:t>附表2</w:t>
      </w:r>
    </w:p>
    <w:p w14:paraId="69F14B2B">
      <w:pPr>
        <w:spacing w:before="312" w:beforeLines="100" w:after="312" w:afterLines="100"/>
        <w:jc w:val="center"/>
        <w:rPr>
          <w:rFonts w:hint="eastAsia" w:ascii="方正小标宋简体" w:hAnsi="宋体" w:eastAsia="方正小标宋简体" w:cs="宋体"/>
          <w:bCs/>
          <w:kern w:val="0"/>
          <w:sz w:val="40"/>
          <w:szCs w:val="40"/>
        </w:rPr>
      </w:pPr>
      <w:r>
        <w:rPr>
          <w:rFonts w:hint="eastAsia" w:ascii="方正小标宋简体" w:hAnsi="宋体" w:eastAsia="方正小标宋简体" w:cs="宋体"/>
          <w:bCs/>
          <w:kern w:val="0"/>
          <w:sz w:val="40"/>
          <w:szCs w:val="40"/>
        </w:rPr>
        <w:t>西北能化公司邀请招标申请表</w:t>
      </w:r>
    </w:p>
    <w:p w14:paraId="68DDA00A">
      <w:pPr>
        <w:widowControl/>
        <w:jc w:val="cente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 xml:space="preserve">                                            年  月  日</w:t>
      </w:r>
    </w:p>
    <w:tbl>
      <w:tblPr>
        <w:tblStyle w:val="10"/>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48"/>
        <w:gridCol w:w="2453"/>
        <w:gridCol w:w="2636"/>
        <w:gridCol w:w="2044"/>
      </w:tblGrid>
      <w:tr w14:paraId="53C9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2040" w:type="dxa"/>
            <w:gridSpan w:val="2"/>
            <w:vAlign w:val="center"/>
          </w:tcPr>
          <w:p w14:paraId="19517D4C">
            <w:pPr>
              <w:widowControl/>
              <w:jc w:val="cente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项目名称</w:t>
            </w:r>
          </w:p>
        </w:tc>
        <w:tc>
          <w:tcPr>
            <w:tcW w:w="7133" w:type="dxa"/>
            <w:gridSpan w:val="3"/>
            <w:vAlign w:val="center"/>
          </w:tcPr>
          <w:p w14:paraId="66408208">
            <w:pPr>
              <w:widowControl/>
              <w:ind w:firstLine="480"/>
              <w:jc w:val="center"/>
              <w:rPr>
                <w:rFonts w:hint="eastAsia" w:ascii="仿宋_GB2312" w:hAnsi="宋体" w:eastAsia="仿宋_GB2312" w:cs="宋体"/>
                <w:bCs/>
                <w:kern w:val="0"/>
                <w:sz w:val="28"/>
                <w:szCs w:val="28"/>
              </w:rPr>
            </w:pPr>
          </w:p>
        </w:tc>
      </w:tr>
      <w:tr w14:paraId="0047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040" w:type="dxa"/>
            <w:gridSpan w:val="2"/>
            <w:vAlign w:val="center"/>
          </w:tcPr>
          <w:p w14:paraId="6E9A1D4D">
            <w:pPr>
              <w:widowControl/>
              <w:jc w:val="cente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概算金额</w:t>
            </w:r>
          </w:p>
        </w:tc>
        <w:tc>
          <w:tcPr>
            <w:tcW w:w="2453" w:type="dxa"/>
            <w:vAlign w:val="center"/>
          </w:tcPr>
          <w:p w14:paraId="2963114E">
            <w:pPr>
              <w:widowControl/>
              <w:ind w:firstLine="480"/>
              <w:jc w:val="center"/>
              <w:rPr>
                <w:rFonts w:hint="eastAsia" w:ascii="仿宋_GB2312" w:hAnsi="宋体" w:eastAsia="仿宋_GB2312" w:cs="宋体"/>
                <w:bCs/>
                <w:kern w:val="0"/>
                <w:sz w:val="28"/>
                <w:szCs w:val="28"/>
              </w:rPr>
            </w:pPr>
          </w:p>
        </w:tc>
        <w:tc>
          <w:tcPr>
            <w:tcW w:w="2636" w:type="dxa"/>
            <w:vAlign w:val="center"/>
          </w:tcPr>
          <w:p w14:paraId="589B9A67">
            <w:pPr>
              <w:widowControl/>
              <w:jc w:val="cente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项目负责人</w:t>
            </w:r>
          </w:p>
        </w:tc>
        <w:tc>
          <w:tcPr>
            <w:tcW w:w="2044" w:type="dxa"/>
            <w:vAlign w:val="center"/>
          </w:tcPr>
          <w:p w14:paraId="647F3CAE">
            <w:pPr>
              <w:widowControl/>
              <w:ind w:firstLine="480"/>
              <w:jc w:val="center"/>
              <w:rPr>
                <w:rFonts w:hint="eastAsia" w:ascii="仿宋_GB2312" w:hAnsi="宋体" w:eastAsia="仿宋_GB2312" w:cs="宋体"/>
                <w:bCs/>
                <w:kern w:val="0"/>
                <w:sz w:val="28"/>
                <w:szCs w:val="28"/>
              </w:rPr>
            </w:pPr>
          </w:p>
        </w:tc>
      </w:tr>
      <w:tr w14:paraId="1509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040" w:type="dxa"/>
            <w:gridSpan w:val="2"/>
            <w:vAlign w:val="center"/>
          </w:tcPr>
          <w:p w14:paraId="5BF1A99E">
            <w:pPr>
              <w:widowControl/>
              <w:jc w:val="cente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工    期</w:t>
            </w:r>
          </w:p>
        </w:tc>
        <w:tc>
          <w:tcPr>
            <w:tcW w:w="2453" w:type="dxa"/>
            <w:vAlign w:val="center"/>
          </w:tcPr>
          <w:p w14:paraId="6104E7BE">
            <w:pPr>
              <w:widowControl/>
              <w:ind w:firstLine="480"/>
              <w:jc w:val="center"/>
              <w:rPr>
                <w:rFonts w:hint="eastAsia" w:ascii="仿宋_GB2312" w:hAnsi="宋体" w:eastAsia="仿宋_GB2312" w:cs="宋体"/>
                <w:bCs/>
                <w:kern w:val="0"/>
                <w:sz w:val="28"/>
                <w:szCs w:val="28"/>
              </w:rPr>
            </w:pPr>
          </w:p>
        </w:tc>
        <w:tc>
          <w:tcPr>
            <w:tcW w:w="2636" w:type="dxa"/>
            <w:vAlign w:val="center"/>
          </w:tcPr>
          <w:p w14:paraId="143B47FB">
            <w:pPr>
              <w:widowControl/>
              <w:jc w:val="center"/>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联系电话</w:t>
            </w:r>
          </w:p>
        </w:tc>
        <w:tc>
          <w:tcPr>
            <w:tcW w:w="2044" w:type="dxa"/>
            <w:vAlign w:val="center"/>
          </w:tcPr>
          <w:p w14:paraId="41452780">
            <w:pPr>
              <w:widowControl/>
              <w:ind w:firstLine="480"/>
              <w:jc w:val="center"/>
              <w:rPr>
                <w:rFonts w:hint="eastAsia" w:ascii="仿宋_GB2312" w:hAnsi="宋体" w:eastAsia="仿宋_GB2312" w:cs="宋体"/>
                <w:bCs/>
                <w:kern w:val="0"/>
                <w:sz w:val="28"/>
                <w:szCs w:val="28"/>
              </w:rPr>
            </w:pPr>
          </w:p>
        </w:tc>
      </w:tr>
      <w:tr w14:paraId="70C5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9173" w:type="dxa"/>
            <w:gridSpan w:val="5"/>
          </w:tcPr>
          <w:p w14:paraId="1A0F644B">
            <w:pPr>
              <w:widowControl/>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项目简介：</w:t>
            </w:r>
            <w:r>
              <w:rPr>
                <w:rFonts w:hint="eastAsia" w:ascii="仿宋_GB2312" w:hAnsi="仿宋_GB2312" w:eastAsia="仿宋_GB2312" w:cs="仿宋_GB2312"/>
                <w:bCs/>
                <w:kern w:val="0"/>
                <w:sz w:val="28"/>
                <w:szCs w:val="28"/>
              </w:rPr>
              <w:t>（招标内容、范围及标段划分）：</w:t>
            </w:r>
          </w:p>
          <w:p w14:paraId="5B874DF0">
            <w:pPr>
              <w:widowControl/>
              <w:ind w:firstLine="480"/>
              <w:rPr>
                <w:rFonts w:hint="eastAsia" w:ascii="仿宋_GB2312" w:hAnsi="宋体" w:eastAsia="仿宋_GB2312" w:cs="宋体"/>
                <w:bCs/>
                <w:kern w:val="0"/>
                <w:sz w:val="28"/>
                <w:szCs w:val="28"/>
              </w:rPr>
            </w:pPr>
          </w:p>
        </w:tc>
      </w:tr>
      <w:tr w14:paraId="67F1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73" w:type="dxa"/>
            <w:gridSpan w:val="5"/>
          </w:tcPr>
          <w:p w14:paraId="6FA1F7AD">
            <w:pPr>
              <w:widowControl/>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拟邀请投标单位名称、联系人、联系方式及邮箱：</w:t>
            </w:r>
          </w:p>
          <w:p w14:paraId="33A7A428">
            <w:pPr>
              <w:widowControl/>
              <w:spacing w:line="440" w:lineRule="exact"/>
              <w:ind w:firstLine="480"/>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1.</w:t>
            </w:r>
          </w:p>
          <w:p w14:paraId="41515332">
            <w:pPr>
              <w:widowControl/>
              <w:ind w:firstLine="480"/>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（注：邀请投标单位推荐不少于三家）</w:t>
            </w:r>
          </w:p>
        </w:tc>
      </w:tr>
      <w:tr w14:paraId="2AF2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9173" w:type="dxa"/>
            <w:gridSpan w:val="5"/>
          </w:tcPr>
          <w:p w14:paraId="353ACB34">
            <w:pPr>
              <w:spacing w:line="400" w:lineRule="exact"/>
              <w:jc w:val="left"/>
              <w:rPr>
                <w:rFonts w:hint="eastAsia" w:ascii="仿宋_GB2312" w:hAnsi="宋体" w:eastAsia="仿宋_GB2312" w:cs="宋体"/>
                <w:kern w:val="0"/>
                <w:sz w:val="28"/>
                <w:szCs w:val="28"/>
              </w:rPr>
            </w:pPr>
          </w:p>
          <w:p w14:paraId="2B924D54">
            <w:pPr>
              <w:spacing w:line="400" w:lineRule="exact"/>
              <w:ind w:firstLine="3640" w:firstLineChars="13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单位负责人签字：</w:t>
            </w:r>
          </w:p>
          <w:p w14:paraId="26AD5547">
            <w:pPr>
              <w:spacing w:line="320" w:lineRule="exact"/>
              <w:ind w:firstLine="480"/>
              <w:jc w:val="center"/>
              <w:rPr>
                <w:rFonts w:hint="eastAsia" w:ascii="仿宋_GB2312" w:hAnsi="宋体" w:eastAsia="仿宋_GB2312" w:cs="宋体"/>
                <w:kern w:val="0"/>
                <w:sz w:val="28"/>
                <w:szCs w:val="28"/>
              </w:rPr>
            </w:pPr>
          </w:p>
          <w:p w14:paraId="62AD3C63">
            <w:pPr>
              <w:spacing w:line="320" w:lineRule="exact"/>
              <w:ind w:firstLine="480"/>
              <w:jc w:val="center"/>
              <w:rPr>
                <w:rFonts w:hint="eastAsia" w:ascii="仿宋_GB2312" w:hAnsi="宋体" w:eastAsia="仿宋_GB2312" w:cs="宋体"/>
                <w:bCs/>
                <w:kern w:val="0"/>
                <w:sz w:val="28"/>
                <w:szCs w:val="28"/>
              </w:rPr>
            </w:pPr>
            <w:r>
              <w:rPr>
                <w:rFonts w:hint="eastAsia" w:ascii="仿宋_GB2312" w:hAnsi="宋体" w:eastAsia="仿宋_GB2312" w:cs="宋体"/>
                <w:kern w:val="0"/>
                <w:sz w:val="28"/>
                <w:szCs w:val="28"/>
              </w:rPr>
              <w:t>部门盖章：</w:t>
            </w:r>
          </w:p>
        </w:tc>
      </w:tr>
      <w:tr w14:paraId="2427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92" w:type="dxa"/>
            <w:vMerge w:val="restart"/>
          </w:tcPr>
          <w:p w14:paraId="37FC6C09">
            <w:pPr>
              <w:spacing w:line="400" w:lineRule="exact"/>
              <w:ind w:firstLine="5880" w:firstLineChars="2100"/>
              <w:jc w:val="left"/>
              <w:rPr>
                <w:rFonts w:hint="eastAsia" w:ascii="新宋体" w:hAnsi="新宋体" w:eastAsia="新宋体" w:cs="宋体"/>
                <w:bCs/>
                <w:kern w:val="0"/>
                <w:sz w:val="28"/>
                <w:szCs w:val="28"/>
              </w:rPr>
            </w:pPr>
          </w:p>
          <w:p w14:paraId="69C97819">
            <w:pPr>
              <w:widowControl/>
              <w:spacing w:line="320" w:lineRule="exact"/>
              <w:ind w:firstLine="198" w:firstLineChars="71"/>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审</w:t>
            </w:r>
          </w:p>
          <w:p w14:paraId="71114752">
            <w:pPr>
              <w:widowControl/>
              <w:spacing w:line="320" w:lineRule="exact"/>
              <w:ind w:firstLine="198" w:firstLineChars="71"/>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批</w:t>
            </w:r>
          </w:p>
          <w:p w14:paraId="3EEA18BD">
            <w:pPr>
              <w:widowControl/>
              <w:spacing w:line="320" w:lineRule="exact"/>
              <w:ind w:firstLine="198" w:firstLineChars="71"/>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意</w:t>
            </w:r>
          </w:p>
          <w:p w14:paraId="35C3DF8E">
            <w:pPr>
              <w:widowControl/>
              <w:spacing w:line="320" w:lineRule="exact"/>
              <w:ind w:firstLine="198" w:firstLineChars="71"/>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见</w:t>
            </w:r>
          </w:p>
        </w:tc>
        <w:tc>
          <w:tcPr>
            <w:tcW w:w="8281" w:type="dxa"/>
            <w:gridSpan w:val="4"/>
          </w:tcPr>
          <w:p w14:paraId="36641CB5">
            <w:pPr>
              <w:spacing w:line="320" w:lineRule="exact"/>
              <w:ind w:firstLine="480"/>
              <w:jc w:val="left"/>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 xml:space="preserve">分管副总经理审批意见： </w:t>
            </w:r>
            <w:r>
              <w:rPr>
                <w:rFonts w:hint="eastAsia" w:ascii="仿宋_GB2312" w:hAnsi="仿宋_GB2312" w:eastAsia="仿宋_GB2312" w:cs="仿宋_GB2312"/>
                <w:bCs/>
                <w:kern w:val="0"/>
                <w:sz w:val="28"/>
                <w:szCs w:val="28"/>
              </w:rPr>
              <w:t>（请选择，勾选）</w:t>
            </w:r>
          </w:p>
          <w:p w14:paraId="39AE2897">
            <w:pPr>
              <w:spacing w:line="320" w:lineRule="exact"/>
              <w:ind w:firstLine="560" w:firstLineChars="200"/>
              <w:jc w:val="left"/>
              <w:rPr>
                <w:rFonts w:hint="eastAsia" w:ascii="仿宋_GB2312" w:hAnsi="宋体" w:eastAsia="仿宋_GB2312" w:cs="宋体"/>
                <w:kern w:val="0"/>
                <w:sz w:val="28"/>
                <w:szCs w:val="28"/>
              </w:rPr>
            </w:pPr>
          </w:p>
          <w:p w14:paraId="695804B7">
            <w:pPr>
              <w:spacing w:line="320" w:lineRule="exact"/>
              <w:ind w:firstLine="560" w:firstLineChars="2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同 </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 xml:space="preserve">意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签  字：</w:t>
            </w:r>
          </w:p>
          <w:p w14:paraId="70B9D4D7">
            <w:pPr>
              <w:spacing w:line="400" w:lineRule="exact"/>
              <w:ind w:firstLine="560" w:firstLineChars="200"/>
              <w:jc w:val="left"/>
              <w:rPr>
                <w:rFonts w:hint="eastAsia" w:ascii="新宋体" w:hAnsi="新宋体" w:eastAsia="新宋体" w:cs="宋体"/>
                <w:bCs/>
                <w:kern w:val="0"/>
                <w:sz w:val="28"/>
                <w:szCs w:val="28"/>
              </w:rPr>
            </w:pPr>
            <w:r>
              <w:rPr>
                <w:rFonts w:hint="eastAsia" w:ascii="仿宋_GB2312" w:hAnsi="宋体" w:eastAsia="仿宋_GB2312" w:cs="宋体"/>
                <w:kern w:val="0"/>
                <w:sz w:val="28"/>
                <w:szCs w:val="28"/>
              </w:rPr>
              <w:t xml:space="preserve">不同意 </w:t>
            </w:r>
            <w:r>
              <w:rPr>
                <w:rFonts w:ascii="仿宋_GB2312" w:hAnsi="宋体" w:eastAsia="仿宋_GB2312" w:cs="宋体"/>
                <w:kern w:val="0"/>
                <w:sz w:val="28"/>
                <w:szCs w:val="28"/>
              </w:rPr>
              <w:t xml:space="preserve">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日  期：</w:t>
            </w:r>
          </w:p>
        </w:tc>
      </w:tr>
      <w:tr w14:paraId="0058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892" w:type="dxa"/>
            <w:vMerge w:val="continue"/>
          </w:tcPr>
          <w:p w14:paraId="10C2CE8E">
            <w:pPr>
              <w:spacing w:line="400" w:lineRule="exact"/>
              <w:ind w:firstLine="480"/>
              <w:jc w:val="left"/>
              <w:rPr>
                <w:rFonts w:hint="eastAsia" w:ascii="仿宋_GB2312" w:hAnsi="宋体" w:eastAsia="仿宋_GB2312" w:cs="宋体"/>
                <w:bCs/>
                <w:kern w:val="0"/>
                <w:sz w:val="28"/>
                <w:szCs w:val="28"/>
              </w:rPr>
            </w:pPr>
          </w:p>
        </w:tc>
        <w:tc>
          <w:tcPr>
            <w:tcW w:w="8281" w:type="dxa"/>
            <w:gridSpan w:val="4"/>
          </w:tcPr>
          <w:p w14:paraId="1C7AD6FC">
            <w:pPr>
              <w:autoSpaceDE w:val="0"/>
              <w:autoSpaceDN w:val="0"/>
              <w:adjustRightInd w:val="0"/>
              <w:spacing w:line="320" w:lineRule="exact"/>
              <w:ind w:firstLine="480"/>
              <w:jc w:val="left"/>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 xml:space="preserve">招标领导小组组长审批意见： </w:t>
            </w:r>
            <w:r>
              <w:rPr>
                <w:rFonts w:hint="eastAsia" w:ascii="仿宋_GB2312" w:hAnsi="仿宋_GB2312" w:eastAsia="仿宋_GB2312" w:cs="仿宋_GB2312"/>
                <w:bCs/>
                <w:kern w:val="0"/>
                <w:sz w:val="28"/>
                <w:szCs w:val="28"/>
              </w:rPr>
              <w:t>（请选择，勾选）</w:t>
            </w:r>
          </w:p>
          <w:p w14:paraId="2F963A45">
            <w:pPr>
              <w:spacing w:line="320" w:lineRule="exact"/>
              <w:ind w:firstLine="560" w:firstLineChars="200"/>
              <w:jc w:val="left"/>
              <w:rPr>
                <w:rFonts w:hint="eastAsia" w:ascii="仿宋_GB2312" w:hAnsi="宋体" w:eastAsia="仿宋_GB2312" w:cs="宋体"/>
                <w:kern w:val="0"/>
                <w:sz w:val="28"/>
                <w:szCs w:val="28"/>
              </w:rPr>
            </w:pPr>
          </w:p>
          <w:p w14:paraId="31462FCD">
            <w:pPr>
              <w:spacing w:line="320" w:lineRule="exact"/>
              <w:ind w:firstLine="560" w:firstLineChars="2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同 </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 xml:space="preserve">意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签  字：</w:t>
            </w:r>
          </w:p>
          <w:p w14:paraId="6CA490EE">
            <w:pPr>
              <w:spacing w:line="320" w:lineRule="exact"/>
              <w:ind w:firstLine="560" w:firstLineChars="2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不同意 </w:t>
            </w:r>
            <w:r>
              <w:rPr>
                <w:rFonts w:ascii="仿宋_GB2312" w:hAnsi="宋体" w:eastAsia="仿宋_GB2312" w:cs="宋体"/>
                <w:kern w:val="0"/>
                <w:sz w:val="28"/>
                <w:szCs w:val="28"/>
              </w:rPr>
              <w:t xml:space="preserve">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日  期：</w:t>
            </w:r>
          </w:p>
        </w:tc>
      </w:tr>
      <w:tr w14:paraId="166B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173" w:type="dxa"/>
            <w:gridSpan w:val="5"/>
          </w:tcPr>
          <w:p w14:paraId="6D05E693">
            <w:pPr>
              <w:spacing w:line="320" w:lineRule="exact"/>
              <w:ind w:firstLine="480"/>
              <w:rPr>
                <w:rFonts w:hint="eastAsia" w:ascii="仿宋_GB2312" w:hAnsi="新宋体" w:eastAsia="仿宋_GB2312"/>
                <w:sz w:val="28"/>
                <w:szCs w:val="28"/>
              </w:rPr>
            </w:pPr>
            <w:r>
              <w:rPr>
                <w:rFonts w:hint="eastAsia" w:ascii="仿宋_GB2312" w:hAnsi="宋体" w:eastAsia="仿宋_GB2312" w:cs="宋体"/>
                <w:kern w:val="0"/>
                <w:sz w:val="28"/>
                <w:szCs w:val="28"/>
              </w:rPr>
              <w:t>附：</w:t>
            </w:r>
            <w:r>
              <w:rPr>
                <w:rFonts w:hint="eastAsia" w:ascii="仿宋_GB2312" w:hAnsi="仿宋_GB2312" w:eastAsia="仿宋_GB2312" w:cs="仿宋_GB2312"/>
                <w:kern w:val="0"/>
                <w:sz w:val="28"/>
                <w:szCs w:val="28"/>
              </w:rPr>
              <w:t>1.受邀单位资质证件复印件、法定代表人身份证复印件、授权委托书及代理人身份证复印件（需加盖单位公章）；</w:t>
            </w:r>
            <w:r>
              <w:rPr>
                <w:rFonts w:hint="eastAsia" w:ascii="仿宋_GB2312" w:hAnsi="宋体" w:eastAsia="仿宋_GB2312" w:cs="宋体"/>
                <w:kern w:val="0"/>
                <w:sz w:val="28"/>
                <w:szCs w:val="28"/>
              </w:rPr>
              <w:t>申请书及技术规格书等资料。</w:t>
            </w:r>
          </w:p>
        </w:tc>
      </w:tr>
    </w:tbl>
    <w:p w14:paraId="34EA82D0">
      <w:pPr>
        <w:rPr>
          <w:rFonts w:hint="eastAsia" w:ascii="仿宋_GB2312" w:hAnsi="仿宋_GB2312" w:eastAsia="仿宋_GB2312" w:cs="仿宋_GB2312"/>
          <w:bCs/>
          <w:kern w:val="0"/>
          <w:sz w:val="32"/>
          <w:szCs w:val="32"/>
        </w:rPr>
      </w:pPr>
    </w:p>
    <w:p w14:paraId="23A93118">
      <w:pPr>
        <w:rPr>
          <w:rFonts w:hint="eastAsia" w:ascii="仿宋_GB2312" w:hAnsi="仿宋_GB2312" w:eastAsia="仿宋_GB2312" w:cs="仿宋_GB2312"/>
          <w:bCs/>
          <w:kern w:val="0"/>
          <w:sz w:val="32"/>
          <w:szCs w:val="32"/>
        </w:rPr>
      </w:pPr>
    </w:p>
    <w:p w14:paraId="2CCD1CCB">
      <w:pPr>
        <w:jc w:val="left"/>
        <w:rPr>
          <w:rFonts w:hint="eastAsia" w:ascii="黑体" w:hAnsi="黑体" w:eastAsia="黑体" w:cs="黑体"/>
          <w:sz w:val="32"/>
          <w:szCs w:val="32"/>
        </w:rPr>
      </w:pPr>
      <w:r>
        <w:rPr>
          <w:rFonts w:hint="eastAsia" w:ascii="黑体" w:hAnsi="黑体" w:eastAsia="黑体" w:cs="黑体"/>
          <w:sz w:val="32"/>
          <w:szCs w:val="32"/>
        </w:rPr>
        <w:t>附表3</w:t>
      </w:r>
    </w:p>
    <w:p w14:paraId="53D65EA1">
      <w:pPr>
        <w:ind w:firstLine="800" w:firstLineChars="200"/>
        <w:jc w:val="center"/>
        <w:rPr>
          <w:rFonts w:hint="eastAsia" w:ascii="方正小标宋简体" w:hAnsi="宋体" w:eastAsia="方正小标宋简体" w:cs="宋体"/>
          <w:bCs/>
          <w:kern w:val="0"/>
          <w:sz w:val="40"/>
          <w:szCs w:val="40"/>
        </w:rPr>
      </w:pPr>
      <w:r>
        <w:rPr>
          <w:rFonts w:hint="eastAsia" w:ascii="方正小标宋简体" w:hAnsi="宋体" w:eastAsia="方正小标宋简体" w:cs="宋体"/>
          <w:bCs/>
          <w:kern w:val="0"/>
          <w:sz w:val="40"/>
          <w:szCs w:val="40"/>
        </w:rPr>
        <w:t>西北能化公司谈判招标申请表</w:t>
      </w:r>
    </w:p>
    <w:tbl>
      <w:tblPr>
        <w:tblStyle w:val="10"/>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110"/>
        <w:gridCol w:w="2745"/>
        <w:gridCol w:w="2317"/>
        <w:gridCol w:w="2256"/>
      </w:tblGrid>
      <w:tr w14:paraId="6651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975" w:type="dxa"/>
            <w:gridSpan w:val="2"/>
            <w:vAlign w:val="center"/>
          </w:tcPr>
          <w:p w14:paraId="61F919E2">
            <w:pPr>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Cs/>
                <w:kern w:val="0"/>
                <w:sz w:val="28"/>
                <w:szCs w:val="28"/>
              </w:rPr>
              <w:t>项目名称</w:t>
            </w:r>
          </w:p>
        </w:tc>
        <w:tc>
          <w:tcPr>
            <w:tcW w:w="7318" w:type="dxa"/>
            <w:gridSpan w:val="3"/>
            <w:vAlign w:val="center"/>
          </w:tcPr>
          <w:p w14:paraId="2C62D350">
            <w:pPr>
              <w:spacing w:line="320" w:lineRule="exact"/>
              <w:ind w:firstLine="480"/>
              <w:jc w:val="center"/>
              <w:rPr>
                <w:rFonts w:hint="eastAsia" w:ascii="仿宋_GB2312" w:hAnsi="仿宋_GB2312" w:eastAsia="仿宋_GB2312" w:cs="仿宋_GB2312"/>
                <w:sz w:val="28"/>
                <w:szCs w:val="28"/>
              </w:rPr>
            </w:pPr>
          </w:p>
        </w:tc>
      </w:tr>
      <w:tr w14:paraId="2B15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975" w:type="dxa"/>
            <w:gridSpan w:val="2"/>
            <w:vAlign w:val="center"/>
          </w:tcPr>
          <w:p w14:paraId="5AE58BCD">
            <w:pPr>
              <w:spacing w:line="32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概算金额</w:t>
            </w:r>
          </w:p>
        </w:tc>
        <w:tc>
          <w:tcPr>
            <w:tcW w:w="2745" w:type="dxa"/>
            <w:vAlign w:val="center"/>
          </w:tcPr>
          <w:p w14:paraId="3331258B">
            <w:pPr>
              <w:spacing w:line="320" w:lineRule="exact"/>
              <w:ind w:firstLine="480"/>
              <w:jc w:val="center"/>
              <w:rPr>
                <w:rFonts w:hint="eastAsia" w:ascii="仿宋_GB2312" w:hAnsi="仿宋_GB2312" w:eastAsia="仿宋_GB2312" w:cs="仿宋_GB2312"/>
                <w:sz w:val="28"/>
                <w:szCs w:val="28"/>
              </w:rPr>
            </w:pPr>
          </w:p>
        </w:tc>
        <w:tc>
          <w:tcPr>
            <w:tcW w:w="2317" w:type="dxa"/>
            <w:vAlign w:val="center"/>
          </w:tcPr>
          <w:p w14:paraId="7F7A18D0">
            <w:pPr>
              <w:spacing w:line="32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项目负责人</w:t>
            </w:r>
          </w:p>
        </w:tc>
        <w:tc>
          <w:tcPr>
            <w:tcW w:w="2256" w:type="dxa"/>
            <w:vAlign w:val="center"/>
          </w:tcPr>
          <w:p w14:paraId="0A16E32B">
            <w:pPr>
              <w:spacing w:line="320" w:lineRule="exact"/>
              <w:ind w:firstLine="480"/>
              <w:jc w:val="center"/>
              <w:rPr>
                <w:rFonts w:hint="eastAsia" w:ascii="仿宋_GB2312" w:hAnsi="仿宋_GB2312" w:eastAsia="仿宋_GB2312" w:cs="仿宋_GB2312"/>
                <w:sz w:val="28"/>
                <w:szCs w:val="28"/>
              </w:rPr>
            </w:pPr>
          </w:p>
        </w:tc>
      </w:tr>
      <w:tr w14:paraId="23F9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975" w:type="dxa"/>
            <w:gridSpan w:val="2"/>
            <w:vAlign w:val="center"/>
          </w:tcPr>
          <w:p w14:paraId="7900A682">
            <w:pPr>
              <w:spacing w:line="32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工    期</w:t>
            </w:r>
          </w:p>
        </w:tc>
        <w:tc>
          <w:tcPr>
            <w:tcW w:w="2745" w:type="dxa"/>
            <w:vAlign w:val="center"/>
          </w:tcPr>
          <w:p w14:paraId="2900B6B3">
            <w:pPr>
              <w:spacing w:line="320" w:lineRule="exact"/>
              <w:ind w:firstLine="480"/>
              <w:jc w:val="center"/>
              <w:rPr>
                <w:rFonts w:hint="eastAsia" w:ascii="仿宋_GB2312" w:hAnsi="仿宋_GB2312" w:eastAsia="仿宋_GB2312" w:cs="仿宋_GB2312"/>
                <w:sz w:val="28"/>
                <w:szCs w:val="28"/>
              </w:rPr>
            </w:pPr>
          </w:p>
        </w:tc>
        <w:tc>
          <w:tcPr>
            <w:tcW w:w="2317" w:type="dxa"/>
            <w:vAlign w:val="center"/>
          </w:tcPr>
          <w:p w14:paraId="1B6DB30B">
            <w:pPr>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Cs/>
                <w:kern w:val="0"/>
                <w:sz w:val="28"/>
                <w:szCs w:val="28"/>
              </w:rPr>
              <w:t>联系电话</w:t>
            </w:r>
          </w:p>
        </w:tc>
        <w:tc>
          <w:tcPr>
            <w:tcW w:w="2256" w:type="dxa"/>
            <w:vAlign w:val="center"/>
          </w:tcPr>
          <w:p w14:paraId="5A7A6172">
            <w:pPr>
              <w:spacing w:line="320" w:lineRule="exact"/>
              <w:ind w:firstLine="480"/>
              <w:jc w:val="center"/>
              <w:rPr>
                <w:rFonts w:hint="eastAsia" w:ascii="仿宋_GB2312" w:hAnsi="仿宋_GB2312" w:eastAsia="仿宋_GB2312" w:cs="仿宋_GB2312"/>
                <w:sz w:val="28"/>
                <w:szCs w:val="28"/>
              </w:rPr>
            </w:pPr>
          </w:p>
        </w:tc>
      </w:tr>
      <w:tr w14:paraId="108A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293" w:type="dxa"/>
            <w:gridSpan w:val="5"/>
          </w:tcPr>
          <w:p w14:paraId="29FE0175">
            <w:pPr>
              <w:spacing w:line="32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项目简介（招标内容、范围及标段划分）：</w:t>
            </w:r>
          </w:p>
        </w:tc>
      </w:tr>
      <w:tr w14:paraId="77EF8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293" w:type="dxa"/>
            <w:gridSpan w:val="5"/>
          </w:tcPr>
          <w:p w14:paraId="34D8B048">
            <w:pPr>
              <w:widowControl/>
              <w:spacing w:line="32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bCs/>
                <w:kern w:val="0"/>
                <w:sz w:val="28"/>
                <w:szCs w:val="28"/>
              </w:rPr>
              <w:t>拟单一来源单位名称、联系人、联系方式及邮箱</w:t>
            </w:r>
            <w:r>
              <w:rPr>
                <w:rFonts w:hint="eastAsia" w:ascii="仿宋_GB2312" w:hAnsi="仿宋_GB2312" w:eastAsia="仿宋_GB2312" w:cs="仿宋_GB2312"/>
                <w:kern w:val="0"/>
                <w:sz w:val="28"/>
                <w:szCs w:val="28"/>
              </w:rPr>
              <w:t>：</w:t>
            </w:r>
          </w:p>
        </w:tc>
      </w:tr>
      <w:tr w14:paraId="65DF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8" w:hRule="atLeast"/>
          <w:jc w:val="center"/>
        </w:trPr>
        <w:tc>
          <w:tcPr>
            <w:tcW w:w="9293" w:type="dxa"/>
            <w:gridSpan w:val="5"/>
          </w:tcPr>
          <w:p w14:paraId="3B138612">
            <w:pPr>
              <w:widowControl/>
              <w:spacing w:line="40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原因：（请选择，勾选）</w:t>
            </w:r>
          </w:p>
          <w:p w14:paraId="770B367B">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□1.需要采用不可替代的专利或者专有技术的；</w:t>
            </w:r>
          </w:p>
          <w:p w14:paraId="0435F3A4">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□2.涉及抢险、抢修、救灾，时间紧无法招标的；</w:t>
            </w:r>
          </w:p>
          <w:p w14:paraId="24D07DDF">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□3.潜在投标人低于3家的；</w:t>
            </w:r>
          </w:p>
          <w:p w14:paraId="6D799CB1">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□4.需要向原中标人采购工程、货物或者服务，否则将影响施工或者功能配套要求的，包括从主机厂或主机配套厂采购部件、配件的，以及需要原供应商或原生产厂对设备或系统进行升级、改造、维修的；</w:t>
            </w:r>
          </w:p>
          <w:p w14:paraId="6D7D137B">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□5.已通过招标方式选定的特许经营项目投资人依法能够自行建设、生产或者提供的；</w:t>
            </w:r>
          </w:p>
          <w:p w14:paraId="72614626">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□6.公司依法能够自行建设、生产或者提供的；</w:t>
            </w:r>
          </w:p>
          <w:p w14:paraId="18CD125F">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□7.国家规定的其他情形；</w:t>
            </w:r>
          </w:p>
          <w:p w14:paraId="0E469604">
            <w:pPr>
              <w:spacing w:line="320" w:lineRule="exact"/>
              <w:ind w:firstLine="48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□8.其他经招标领导小组批准的项目。</w:t>
            </w:r>
          </w:p>
          <w:p w14:paraId="44F5C037">
            <w:pPr>
              <w:spacing w:line="320" w:lineRule="exact"/>
              <w:ind w:firstLine="480"/>
              <w:rPr>
                <w:rFonts w:hint="eastAsia" w:ascii="仿宋_GB2312" w:hAnsi="仿宋_GB2312" w:eastAsia="仿宋_GB2312" w:cs="仿宋_GB2312"/>
                <w:bCs/>
                <w:kern w:val="0"/>
                <w:sz w:val="28"/>
                <w:szCs w:val="28"/>
                <w:u w:val="single"/>
              </w:rPr>
            </w:pPr>
            <w:r>
              <w:rPr>
                <w:rFonts w:hint="eastAsia" w:ascii="仿宋_GB2312" w:hAnsi="仿宋_GB2312" w:eastAsia="仿宋_GB2312" w:cs="仿宋_GB2312"/>
                <w:bCs/>
                <w:kern w:val="0"/>
                <w:sz w:val="28"/>
                <w:szCs w:val="28"/>
              </w:rPr>
              <w:t>□9.其他需要说明：</w:t>
            </w:r>
            <w:r>
              <w:rPr>
                <w:rFonts w:hint="eastAsia" w:ascii="仿宋_GB2312" w:hAnsi="仿宋_GB2312" w:eastAsia="仿宋_GB2312" w:cs="仿宋_GB2312"/>
                <w:bCs/>
                <w:kern w:val="0"/>
                <w:sz w:val="28"/>
                <w:szCs w:val="28"/>
                <w:u w:val="single"/>
              </w:rPr>
              <w:t xml:space="preserve">                                                      </w:t>
            </w:r>
          </w:p>
          <w:p w14:paraId="22DBD0A1">
            <w:pPr>
              <w:autoSpaceDE w:val="0"/>
              <w:autoSpaceDN w:val="0"/>
              <w:adjustRightInd w:val="0"/>
              <w:spacing w:line="320" w:lineRule="exact"/>
              <w:ind w:firstLine="480"/>
              <w:jc w:val="left"/>
              <w:rPr>
                <w:rFonts w:hint="eastAsia" w:ascii="仿宋_GB2312" w:hAnsi="仿宋_GB2312" w:eastAsia="仿宋_GB2312" w:cs="仿宋_GB2312"/>
                <w:bCs/>
                <w:kern w:val="0"/>
                <w:sz w:val="28"/>
                <w:szCs w:val="28"/>
                <w:u w:val="single"/>
              </w:rPr>
            </w:pPr>
            <w:r>
              <w:rPr>
                <w:rFonts w:hint="eastAsia" w:ascii="仿宋_GB2312" w:hAnsi="仿宋_GB2312" w:eastAsia="仿宋_GB2312" w:cs="仿宋_GB2312"/>
                <w:bCs/>
                <w:kern w:val="0"/>
                <w:sz w:val="28"/>
                <w:szCs w:val="28"/>
                <w:u w:val="single"/>
              </w:rPr>
              <w:t xml:space="preserve">                                                                       </w:t>
            </w:r>
          </w:p>
        </w:tc>
      </w:tr>
      <w:tr w14:paraId="2094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293" w:type="dxa"/>
            <w:gridSpan w:val="5"/>
            <w:vAlign w:val="center"/>
          </w:tcPr>
          <w:p w14:paraId="480D5541">
            <w:pPr>
              <w:spacing w:line="400" w:lineRule="exact"/>
              <w:ind w:firstLine="3640" w:firstLineChars="13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单位负责人签字：</w:t>
            </w:r>
          </w:p>
          <w:p w14:paraId="428C6F3C">
            <w:pPr>
              <w:spacing w:line="320" w:lineRule="exact"/>
              <w:ind w:firstLine="4200" w:firstLineChars="1500"/>
              <w:jc w:val="left"/>
              <w:rPr>
                <w:rFonts w:hint="eastAsia" w:ascii="仿宋_GB2312" w:hAnsi="仿宋_GB2312" w:eastAsia="仿宋_GB2312" w:cs="仿宋_GB2312"/>
                <w:bCs/>
                <w:kern w:val="0"/>
                <w:sz w:val="28"/>
                <w:szCs w:val="28"/>
              </w:rPr>
            </w:pPr>
            <w:r>
              <w:rPr>
                <w:rFonts w:hint="eastAsia" w:ascii="仿宋_GB2312" w:hAnsi="宋体" w:eastAsia="仿宋_GB2312" w:cs="宋体"/>
                <w:kern w:val="0"/>
                <w:sz w:val="28"/>
                <w:szCs w:val="28"/>
              </w:rPr>
              <w:t>部门盖章：</w:t>
            </w:r>
          </w:p>
        </w:tc>
      </w:tr>
      <w:tr w14:paraId="71D1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865" w:type="dxa"/>
            <w:vMerge w:val="restart"/>
            <w:vAlign w:val="center"/>
          </w:tcPr>
          <w:p w14:paraId="71C3E366">
            <w:pPr>
              <w:widowControl/>
              <w:spacing w:line="32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审</w:t>
            </w:r>
          </w:p>
          <w:p w14:paraId="02F7ACEE">
            <w:pPr>
              <w:widowControl/>
              <w:spacing w:line="320" w:lineRule="exact"/>
              <w:ind w:firstLine="198" w:firstLineChars="71"/>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批</w:t>
            </w:r>
          </w:p>
          <w:p w14:paraId="72B1D716">
            <w:pPr>
              <w:widowControl/>
              <w:spacing w:line="320" w:lineRule="exact"/>
              <w:ind w:firstLine="198" w:firstLineChars="71"/>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意</w:t>
            </w:r>
          </w:p>
          <w:p w14:paraId="2B9562C7">
            <w:pPr>
              <w:widowControl/>
              <w:spacing w:line="320" w:lineRule="exact"/>
              <w:ind w:firstLine="198" w:firstLineChars="71"/>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见</w:t>
            </w:r>
          </w:p>
        </w:tc>
        <w:tc>
          <w:tcPr>
            <w:tcW w:w="8428" w:type="dxa"/>
            <w:gridSpan w:val="4"/>
          </w:tcPr>
          <w:p w14:paraId="1CFB398C">
            <w:pPr>
              <w:spacing w:line="320" w:lineRule="exact"/>
              <w:ind w:firstLine="480"/>
              <w:jc w:val="left"/>
              <w:rPr>
                <w:rFonts w:hint="eastAsia" w:ascii="仿宋_GB2312" w:hAnsi="宋体" w:eastAsia="仿宋_GB2312" w:cs="宋体"/>
                <w:kern w:val="0"/>
                <w:sz w:val="28"/>
                <w:szCs w:val="28"/>
              </w:rPr>
            </w:pPr>
            <w:r>
              <w:rPr>
                <w:rFonts w:hint="eastAsia" w:ascii="仿宋_GB2312" w:hAnsi="宋体" w:eastAsia="仿宋_GB2312" w:cs="宋体"/>
                <w:bCs/>
                <w:kern w:val="0"/>
                <w:sz w:val="28"/>
                <w:szCs w:val="28"/>
              </w:rPr>
              <w:t xml:space="preserve">分管副总经理审批意见： </w:t>
            </w:r>
            <w:r>
              <w:rPr>
                <w:rFonts w:hint="eastAsia" w:ascii="仿宋_GB2312" w:hAnsi="仿宋_GB2312" w:eastAsia="仿宋_GB2312" w:cs="仿宋_GB2312"/>
                <w:bCs/>
                <w:kern w:val="0"/>
                <w:sz w:val="28"/>
                <w:szCs w:val="28"/>
              </w:rPr>
              <w:t>（请选择，勾选）</w:t>
            </w:r>
          </w:p>
          <w:p w14:paraId="6CDB6DBF">
            <w:pPr>
              <w:spacing w:line="320" w:lineRule="exact"/>
              <w:ind w:firstLine="560" w:firstLineChars="2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同 </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 xml:space="preserve">意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签  字：</w:t>
            </w:r>
          </w:p>
          <w:p w14:paraId="390E39F0">
            <w:pPr>
              <w:spacing w:line="320" w:lineRule="exact"/>
              <w:ind w:firstLine="560" w:firstLineChars="200"/>
              <w:rPr>
                <w:rFonts w:hint="eastAsia" w:ascii="仿宋_GB2312" w:hAnsi="仿宋_GB2312" w:eastAsia="仿宋_GB2312" w:cs="仿宋_GB2312"/>
                <w:sz w:val="28"/>
                <w:szCs w:val="28"/>
              </w:rPr>
            </w:pPr>
            <w:r>
              <w:rPr>
                <w:rFonts w:hint="eastAsia" w:ascii="仿宋_GB2312" w:hAnsi="宋体" w:eastAsia="仿宋_GB2312" w:cs="宋体"/>
                <w:kern w:val="0"/>
                <w:sz w:val="28"/>
                <w:szCs w:val="28"/>
              </w:rPr>
              <w:t xml:space="preserve">不同意 </w:t>
            </w:r>
            <w:r>
              <w:rPr>
                <w:rFonts w:ascii="仿宋_GB2312" w:hAnsi="宋体" w:eastAsia="仿宋_GB2312" w:cs="宋体"/>
                <w:kern w:val="0"/>
                <w:sz w:val="28"/>
                <w:szCs w:val="28"/>
              </w:rPr>
              <w:t xml:space="preserve">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日  期：</w:t>
            </w:r>
          </w:p>
        </w:tc>
      </w:tr>
      <w:tr w14:paraId="7685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65" w:type="dxa"/>
            <w:vMerge w:val="continue"/>
          </w:tcPr>
          <w:p w14:paraId="0E65C857">
            <w:pPr>
              <w:spacing w:line="320" w:lineRule="exact"/>
              <w:ind w:firstLine="480"/>
              <w:rPr>
                <w:rFonts w:hint="eastAsia" w:ascii="仿宋_GB2312" w:hAnsi="仿宋_GB2312" w:eastAsia="仿宋_GB2312" w:cs="仿宋_GB2312"/>
                <w:sz w:val="28"/>
                <w:szCs w:val="28"/>
              </w:rPr>
            </w:pPr>
          </w:p>
        </w:tc>
        <w:tc>
          <w:tcPr>
            <w:tcW w:w="8428" w:type="dxa"/>
            <w:gridSpan w:val="4"/>
          </w:tcPr>
          <w:p w14:paraId="71C35C16">
            <w:pPr>
              <w:autoSpaceDE w:val="0"/>
              <w:autoSpaceDN w:val="0"/>
              <w:adjustRightInd w:val="0"/>
              <w:spacing w:line="320" w:lineRule="exact"/>
              <w:ind w:firstLine="480"/>
              <w:jc w:val="left"/>
              <w:rPr>
                <w:rFonts w:hint="eastAsia" w:ascii="仿宋_GB2312" w:hAnsi="宋体" w:eastAsia="仿宋_GB2312" w:cs="宋体"/>
                <w:kern w:val="0"/>
                <w:sz w:val="28"/>
                <w:szCs w:val="28"/>
              </w:rPr>
            </w:pPr>
            <w:r>
              <w:rPr>
                <w:rFonts w:hint="eastAsia" w:ascii="仿宋_GB2312" w:hAnsi="宋体" w:eastAsia="仿宋_GB2312" w:cs="宋体"/>
                <w:bCs/>
                <w:kern w:val="0"/>
                <w:sz w:val="28"/>
                <w:szCs w:val="28"/>
              </w:rPr>
              <w:t xml:space="preserve">招标领导小组组长审批意见： </w:t>
            </w:r>
            <w:r>
              <w:rPr>
                <w:rFonts w:hint="eastAsia" w:ascii="仿宋_GB2312" w:hAnsi="仿宋_GB2312" w:eastAsia="仿宋_GB2312" w:cs="仿宋_GB2312"/>
                <w:bCs/>
                <w:kern w:val="0"/>
                <w:sz w:val="28"/>
                <w:szCs w:val="28"/>
              </w:rPr>
              <w:t>（请选择，勾选）</w:t>
            </w:r>
          </w:p>
          <w:p w14:paraId="6EB0B7D1">
            <w:pPr>
              <w:spacing w:line="320" w:lineRule="exact"/>
              <w:ind w:firstLine="560" w:firstLineChars="200"/>
              <w:jc w:val="left"/>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同 </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 xml:space="preserve">意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签  字：</w:t>
            </w:r>
          </w:p>
          <w:p w14:paraId="0C88C8A3">
            <w:pPr>
              <w:spacing w:line="320" w:lineRule="exact"/>
              <w:ind w:firstLine="560" w:firstLineChars="200"/>
              <w:rPr>
                <w:rFonts w:hint="eastAsia" w:ascii="仿宋_GB2312" w:hAnsi="宋体" w:eastAsia="仿宋_GB2312" w:cs="宋体"/>
                <w:kern w:val="0"/>
                <w:sz w:val="28"/>
                <w:szCs w:val="28"/>
              </w:rPr>
            </w:pPr>
            <w:r>
              <w:rPr>
                <w:rFonts w:hint="eastAsia" w:ascii="仿宋_GB2312" w:hAnsi="宋体" w:eastAsia="仿宋_GB2312" w:cs="宋体"/>
                <w:kern w:val="0"/>
                <w:sz w:val="28"/>
                <w:szCs w:val="28"/>
              </w:rPr>
              <w:t xml:space="preserve">不同意 </w:t>
            </w:r>
            <w:r>
              <w:rPr>
                <w:rFonts w:ascii="仿宋_GB2312" w:hAnsi="宋体" w:eastAsia="仿宋_GB2312" w:cs="宋体"/>
                <w:kern w:val="0"/>
                <w:sz w:val="28"/>
                <w:szCs w:val="28"/>
              </w:rPr>
              <w:t xml:space="preserve"> </w:t>
            </w:r>
            <w:r>
              <w:rPr>
                <w:rFonts w:hint="eastAsia" w:ascii="仿宋_GB2312" w:hAnsi="仿宋_GB2312" w:eastAsia="仿宋_GB2312" w:cs="仿宋_GB2312"/>
                <w:bCs/>
                <w:kern w:val="0"/>
                <w:sz w:val="28"/>
                <w:szCs w:val="28"/>
              </w:rPr>
              <w:t>□</w:t>
            </w:r>
            <w:r>
              <w:rPr>
                <w:rFonts w:ascii="仿宋_GB2312" w:hAnsi="宋体" w:eastAsia="仿宋_GB2312" w:cs="宋体"/>
                <w:kern w:val="0"/>
                <w:sz w:val="28"/>
                <w:szCs w:val="28"/>
              </w:rPr>
              <w:t xml:space="preserve">                </w:t>
            </w:r>
            <w:r>
              <w:rPr>
                <w:rFonts w:hint="eastAsia" w:ascii="仿宋_GB2312" w:hAnsi="宋体" w:eastAsia="仿宋_GB2312" w:cs="宋体"/>
                <w:kern w:val="0"/>
                <w:sz w:val="28"/>
                <w:szCs w:val="28"/>
              </w:rPr>
              <w:t>日  期：</w:t>
            </w:r>
          </w:p>
        </w:tc>
      </w:tr>
      <w:tr w14:paraId="3BB1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9293" w:type="dxa"/>
            <w:gridSpan w:val="5"/>
          </w:tcPr>
          <w:p w14:paraId="04D00738">
            <w:pPr>
              <w:spacing w:line="400" w:lineRule="exact"/>
              <w:ind w:firstLine="480"/>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附：1.受邀单位资质证件复印件、法定代表人身份证复印件、授权委托书及代理人身份证复印件（需加盖单位公章）；2.申请书及技术规格书等资料。</w:t>
            </w:r>
          </w:p>
        </w:tc>
      </w:tr>
    </w:tbl>
    <w:p w14:paraId="28CBA372">
      <w:pPr>
        <w:rPr>
          <w:rFonts w:hint="eastAsia" w:ascii="仿宋_GB2312" w:hAnsi="仿宋_GB2312" w:eastAsia="仿宋_GB2312" w:cs="仿宋_GB2312"/>
          <w:bCs/>
          <w:kern w:val="0"/>
          <w:sz w:val="32"/>
          <w:szCs w:val="32"/>
        </w:rPr>
      </w:pPr>
    </w:p>
    <w:p w14:paraId="274A1552">
      <w:pPr>
        <w:rPr>
          <w:rFonts w:hint="eastAsia" w:ascii="仿宋_GB2312" w:hAnsi="仿宋_GB2312" w:eastAsia="仿宋_GB2312" w:cs="仿宋_GB2312"/>
          <w:bCs/>
          <w:kern w:val="0"/>
          <w:sz w:val="32"/>
          <w:szCs w:val="32"/>
        </w:rPr>
      </w:pPr>
    </w:p>
    <w:p w14:paraId="6020BA83">
      <w:pPr>
        <w:jc w:val="left"/>
        <w:rPr>
          <w:rFonts w:hint="eastAsia" w:ascii="黑体" w:hAnsi="黑体" w:eastAsia="黑体" w:cs="黑体"/>
          <w:sz w:val="32"/>
          <w:szCs w:val="32"/>
        </w:rPr>
      </w:pPr>
      <w:r>
        <w:rPr>
          <w:rFonts w:hint="eastAsia" w:ascii="黑体" w:hAnsi="黑体" w:eastAsia="黑体" w:cs="黑体"/>
          <w:sz w:val="32"/>
          <w:szCs w:val="32"/>
        </w:rPr>
        <w:t>附表4</w:t>
      </w:r>
    </w:p>
    <w:p w14:paraId="62A0179E">
      <w:pPr>
        <w:spacing w:before="51" w:line="219" w:lineRule="auto"/>
        <w:ind w:firstLine="1600" w:firstLineChars="400"/>
        <w:jc w:val="center"/>
        <w:rPr>
          <w:rFonts w:hint="eastAsia" w:ascii="仿宋_GB2312" w:hAnsi="仿宋_GB2312" w:eastAsia="仿宋_GB2312" w:cs="仿宋_GB2312"/>
          <w:b/>
          <w:bCs/>
          <w:spacing w:val="11"/>
          <w:sz w:val="42"/>
          <w:szCs w:val="42"/>
        </w:rPr>
      </w:pPr>
      <w:r>
        <w:rPr>
          <w:rFonts w:hint="eastAsia" w:ascii="方正小标宋简体" w:hAnsi="宋体" w:eastAsia="方正小标宋简体" w:cs="宋体"/>
          <w:bCs/>
          <w:kern w:val="0"/>
          <w:sz w:val="40"/>
          <w:szCs w:val="40"/>
        </w:rPr>
        <w:t>招标项目变更采购方式审批表</w:t>
      </w:r>
    </w:p>
    <w:p w14:paraId="32B6F50C">
      <w:pPr>
        <w:spacing w:before="91" w:line="203" w:lineRule="auto"/>
        <w:ind w:firstLine="410"/>
        <w:rPr>
          <w:rFonts w:hint="eastAsia" w:ascii="仿宋_GB2312" w:hAnsi="仿宋_GB2312" w:eastAsia="仿宋_GB2312" w:cs="仿宋_GB2312"/>
          <w:sz w:val="28"/>
          <w:szCs w:val="28"/>
        </w:rPr>
      </w:pPr>
      <w:r>
        <w:rPr>
          <w:rFonts w:hint="eastAsia" w:ascii="仿宋_GB2312" w:hAnsi="仿宋_GB2312" w:eastAsia="仿宋_GB2312" w:cs="仿宋_GB2312"/>
          <w:spacing w:val="12"/>
          <w:sz w:val="28"/>
          <w:szCs w:val="28"/>
        </w:rPr>
        <w:t>填报日期</w:t>
      </w:r>
      <w:r>
        <w:rPr>
          <w:rFonts w:hint="eastAsia" w:ascii="仿宋_GB2312" w:hAnsi="仿宋_GB2312" w:eastAsia="仿宋_GB2312" w:cs="仿宋_GB2312"/>
          <w:spacing w:val="12"/>
          <w:sz w:val="28"/>
          <w:szCs w:val="28"/>
          <w:lang w:eastAsia="zh-CN"/>
        </w:rPr>
        <w:t>：</w:t>
      </w:r>
    </w:p>
    <w:tbl>
      <w:tblPr>
        <w:tblStyle w:val="10"/>
        <w:tblW w:w="9059"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779"/>
        <w:gridCol w:w="2901"/>
        <w:gridCol w:w="139"/>
        <w:gridCol w:w="1851"/>
        <w:gridCol w:w="1671"/>
      </w:tblGrid>
      <w:tr w14:paraId="5D89C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0" w:hRule="atLeast"/>
        </w:trPr>
        <w:tc>
          <w:tcPr>
            <w:tcW w:w="1718" w:type="dxa"/>
            <w:tcBorders>
              <w:top w:val="single" w:color="000000" w:sz="2" w:space="0"/>
              <w:bottom w:val="single" w:color="000000" w:sz="2" w:space="0"/>
            </w:tcBorders>
            <w:vAlign w:val="center"/>
          </w:tcPr>
          <w:p w14:paraId="2FE38F5F">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申报单位</w:t>
            </w:r>
          </w:p>
        </w:tc>
        <w:tc>
          <w:tcPr>
            <w:tcW w:w="3680" w:type="dxa"/>
            <w:gridSpan w:val="2"/>
            <w:tcBorders>
              <w:top w:val="single" w:color="000000" w:sz="2" w:space="0"/>
              <w:bottom w:val="single" w:color="000000" w:sz="2" w:space="0"/>
            </w:tcBorders>
            <w:vAlign w:val="center"/>
          </w:tcPr>
          <w:p w14:paraId="48000A53">
            <w:pPr>
              <w:spacing w:before="88" w:line="216" w:lineRule="auto"/>
              <w:ind w:firstLine="275"/>
              <w:rPr>
                <w:rFonts w:hint="eastAsia" w:ascii="仿宋_GB2312" w:hAnsi="仿宋_GB2312" w:eastAsia="仿宋_GB2312" w:cs="仿宋_GB2312"/>
                <w:spacing w:val="-1"/>
                <w:sz w:val="24"/>
              </w:rPr>
            </w:pPr>
          </w:p>
        </w:tc>
        <w:tc>
          <w:tcPr>
            <w:tcW w:w="1990" w:type="dxa"/>
            <w:gridSpan w:val="2"/>
            <w:tcBorders>
              <w:top w:val="single" w:color="000000" w:sz="2" w:space="0"/>
              <w:bottom w:val="single" w:color="000000" w:sz="2" w:space="0"/>
            </w:tcBorders>
            <w:vAlign w:val="center"/>
          </w:tcPr>
          <w:p w14:paraId="4498F1B0">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计划类别</w:t>
            </w:r>
          </w:p>
        </w:tc>
        <w:tc>
          <w:tcPr>
            <w:tcW w:w="1671" w:type="dxa"/>
            <w:tcBorders>
              <w:top w:val="single" w:color="000000" w:sz="2" w:space="0"/>
              <w:bottom w:val="single" w:color="000000" w:sz="2" w:space="0"/>
            </w:tcBorders>
            <w:vAlign w:val="center"/>
          </w:tcPr>
          <w:p w14:paraId="3A7CB71E">
            <w:pPr>
              <w:spacing w:before="88" w:line="216" w:lineRule="auto"/>
              <w:ind w:firstLine="275"/>
              <w:rPr>
                <w:rFonts w:hint="eastAsia" w:ascii="仿宋_GB2312" w:hAnsi="仿宋_GB2312" w:eastAsia="仿宋_GB2312" w:cs="仿宋_GB2312"/>
                <w:spacing w:val="-1"/>
                <w:sz w:val="24"/>
              </w:rPr>
            </w:pPr>
          </w:p>
        </w:tc>
      </w:tr>
      <w:tr w14:paraId="20FC01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5" w:hRule="atLeast"/>
        </w:trPr>
        <w:tc>
          <w:tcPr>
            <w:tcW w:w="1718" w:type="dxa"/>
            <w:tcBorders>
              <w:top w:val="single" w:color="000000" w:sz="2" w:space="0"/>
              <w:bottom w:val="single" w:color="000000" w:sz="2" w:space="0"/>
            </w:tcBorders>
            <w:vAlign w:val="center"/>
          </w:tcPr>
          <w:p w14:paraId="0A8A16FA">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项目名称</w:t>
            </w:r>
          </w:p>
        </w:tc>
        <w:tc>
          <w:tcPr>
            <w:tcW w:w="3680" w:type="dxa"/>
            <w:gridSpan w:val="2"/>
            <w:tcBorders>
              <w:top w:val="single" w:color="000000" w:sz="2" w:space="0"/>
              <w:bottom w:val="single" w:color="000000" w:sz="2" w:space="0"/>
            </w:tcBorders>
            <w:vAlign w:val="center"/>
          </w:tcPr>
          <w:p w14:paraId="6EA01B1B">
            <w:pPr>
              <w:spacing w:before="88" w:line="216" w:lineRule="auto"/>
              <w:ind w:firstLine="275"/>
              <w:rPr>
                <w:rFonts w:hint="eastAsia" w:ascii="仿宋_GB2312" w:hAnsi="仿宋_GB2312" w:eastAsia="仿宋_GB2312" w:cs="仿宋_GB2312"/>
                <w:spacing w:val="-1"/>
                <w:sz w:val="24"/>
              </w:rPr>
            </w:pPr>
          </w:p>
        </w:tc>
        <w:tc>
          <w:tcPr>
            <w:tcW w:w="1990" w:type="dxa"/>
            <w:gridSpan w:val="2"/>
            <w:tcBorders>
              <w:top w:val="single" w:color="000000" w:sz="2" w:space="0"/>
              <w:bottom w:val="single" w:color="000000" w:sz="2" w:space="0"/>
            </w:tcBorders>
            <w:vAlign w:val="center"/>
          </w:tcPr>
          <w:p w14:paraId="0F3CD40C">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计划或预算金额</w:t>
            </w:r>
          </w:p>
        </w:tc>
        <w:tc>
          <w:tcPr>
            <w:tcW w:w="1671" w:type="dxa"/>
            <w:tcBorders>
              <w:top w:val="single" w:color="000000" w:sz="2" w:space="0"/>
              <w:bottom w:val="single" w:color="000000" w:sz="2" w:space="0"/>
            </w:tcBorders>
            <w:vAlign w:val="center"/>
          </w:tcPr>
          <w:p w14:paraId="2B9F7FF1">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 xml:space="preserve">     万元</w:t>
            </w:r>
          </w:p>
        </w:tc>
      </w:tr>
      <w:tr w14:paraId="0F7BC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65" w:hRule="atLeast"/>
        </w:trPr>
        <w:tc>
          <w:tcPr>
            <w:tcW w:w="1718" w:type="dxa"/>
            <w:tcBorders>
              <w:top w:val="single" w:color="000000" w:sz="2" w:space="0"/>
              <w:bottom w:val="single" w:color="000000" w:sz="2" w:space="0"/>
            </w:tcBorders>
            <w:vAlign w:val="center"/>
          </w:tcPr>
          <w:p w14:paraId="7EC48B94">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原申请采购方式</w:t>
            </w:r>
          </w:p>
        </w:tc>
        <w:tc>
          <w:tcPr>
            <w:tcW w:w="3680" w:type="dxa"/>
            <w:gridSpan w:val="2"/>
            <w:tcBorders>
              <w:top w:val="single" w:color="000000" w:sz="2" w:space="0"/>
              <w:bottom w:val="single" w:color="000000" w:sz="2" w:space="0"/>
            </w:tcBorders>
            <w:vAlign w:val="center"/>
          </w:tcPr>
          <w:p w14:paraId="552BB43C">
            <w:pPr>
              <w:spacing w:before="88" w:line="216" w:lineRule="auto"/>
              <w:ind w:firstLine="275"/>
              <w:rPr>
                <w:rFonts w:hint="eastAsia" w:ascii="仿宋_GB2312" w:hAnsi="仿宋_GB2312" w:eastAsia="仿宋_GB2312" w:cs="仿宋_GB2312"/>
                <w:spacing w:val="-1"/>
                <w:sz w:val="24"/>
              </w:rPr>
            </w:pPr>
          </w:p>
        </w:tc>
        <w:tc>
          <w:tcPr>
            <w:tcW w:w="1990" w:type="dxa"/>
            <w:gridSpan w:val="2"/>
            <w:tcBorders>
              <w:top w:val="single" w:color="000000" w:sz="2" w:space="0"/>
              <w:bottom w:val="single" w:color="000000" w:sz="2" w:space="0"/>
            </w:tcBorders>
            <w:vAlign w:val="center"/>
          </w:tcPr>
          <w:p w14:paraId="08AE4B3A">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现申请变更采购方式</w:t>
            </w:r>
          </w:p>
        </w:tc>
        <w:tc>
          <w:tcPr>
            <w:tcW w:w="1671" w:type="dxa"/>
            <w:tcBorders>
              <w:top w:val="single" w:color="000000" w:sz="2" w:space="0"/>
              <w:bottom w:val="single" w:color="000000" w:sz="2" w:space="0"/>
            </w:tcBorders>
          </w:tcPr>
          <w:p w14:paraId="218892FD">
            <w:pPr>
              <w:spacing w:before="88" w:line="216" w:lineRule="auto"/>
              <w:ind w:firstLine="275"/>
              <w:rPr>
                <w:rFonts w:hint="eastAsia" w:ascii="仿宋_GB2312" w:hAnsi="仿宋_GB2312" w:eastAsia="仿宋_GB2312" w:cs="仿宋_GB2312"/>
                <w:spacing w:val="-1"/>
                <w:sz w:val="24"/>
              </w:rPr>
            </w:pPr>
          </w:p>
        </w:tc>
      </w:tr>
      <w:tr w14:paraId="16715E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9" w:hRule="atLeast"/>
        </w:trPr>
        <w:tc>
          <w:tcPr>
            <w:tcW w:w="1718" w:type="dxa"/>
            <w:tcBorders>
              <w:top w:val="single" w:color="000000" w:sz="2" w:space="0"/>
              <w:bottom w:val="single" w:color="000000" w:sz="2" w:space="0"/>
            </w:tcBorders>
          </w:tcPr>
          <w:p w14:paraId="1985E7F6">
            <w:pPr>
              <w:spacing w:before="88" w:line="216" w:lineRule="auto"/>
              <w:ind w:firstLine="275"/>
              <w:rPr>
                <w:rFonts w:hint="eastAsia" w:ascii="仿宋_GB2312" w:hAnsi="仿宋_GB2312" w:eastAsia="仿宋_GB2312" w:cs="仿宋_GB2312"/>
                <w:spacing w:val="-1"/>
                <w:sz w:val="24"/>
              </w:rPr>
            </w:pPr>
          </w:p>
          <w:p w14:paraId="41209086">
            <w:pPr>
              <w:spacing w:before="88" w:line="216" w:lineRule="auto"/>
              <w:ind w:firstLine="275"/>
              <w:rPr>
                <w:rFonts w:hint="eastAsia" w:ascii="仿宋_GB2312" w:hAnsi="仿宋_GB2312" w:eastAsia="仿宋_GB2312" w:cs="仿宋_GB2312"/>
                <w:spacing w:val="-1"/>
                <w:sz w:val="24"/>
              </w:rPr>
            </w:pPr>
          </w:p>
          <w:p w14:paraId="19553B73">
            <w:pPr>
              <w:spacing w:before="88" w:line="216" w:lineRule="auto"/>
              <w:ind w:firstLine="547" w:firstLineChars="230"/>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申请理由</w:t>
            </w:r>
          </w:p>
        </w:tc>
        <w:tc>
          <w:tcPr>
            <w:tcW w:w="7341" w:type="dxa"/>
            <w:gridSpan w:val="5"/>
            <w:tcBorders>
              <w:top w:val="single" w:color="000000" w:sz="2" w:space="0"/>
              <w:bottom w:val="single" w:color="000000" w:sz="2" w:space="0"/>
            </w:tcBorders>
          </w:tcPr>
          <w:p w14:paraId="75D66B4A">
            <w:pPr>
              <w:spacing w:before="88" w:line="216" w:lineRule="auto"/>
              <w:ind w:firstLine="275"/>
              <w:rPr>
                <w:rFonts w:hint="eastAsia" w:ascii="仿宋_GB2312" w:hAnsi="仿宋_GB2312" w:eastAsia="仿宋_GB2312" w:cs="仿宋_GB2312"/>
                <w:spacing w:val="-1"/>
                <w:sz w:val="24"/>
              </w:rPr>
            </w:pPr>
          </w:p>
          <w:p w14:paraId="3DDEDEC8">
            <w:pPr>
              <w:spacing w:before="88" w:line="216" w:lineRule="auto"/>
              <w:ind w:firstLine="275"/>
              <w:rPr>
                <w:rFonts w:hint="eastAsia" w:ascii="仿宋_GB2312" w:hAnsi="仿宋_GB2312" w:eastAsia="仿宋_GB2312" w:cs="仿宋_GB2312"/>
                <w:spacing w:val="-1"/>
                <w:sz w:val="24"/>
              </w:rPr>
            </w:pPr>
          </w:p>
          <w:p w14:paraId="2A1583E3">
            <w:pPr>
              <w:spacing w:before="88" w:line="216" w:lineRule="auto"/>
              <w:ind w:firstLine="275"/>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lang w:eastAsia="zh-CN"/>
              </w:rPr>
              <w:t>（</w:t>
            </w:r>
            <w:r>
              <w:rPr>
                <w:rFonts w:hint="eastAsia" w:ascii="仿宋_GB2312" w:hAnsi="仿宋_GB2312" w:eastAsia="仿宋_GB2312" w:cs="仿宋_GB2312"/>
                <w:spacing w:val="-1"/>
                <w:sz w:val="24"/>
              </w:rPr>
              <w:t>陈述变更采购方式的理由</w:t>
            </w:r>
            <w:r>
              <w:rPr>
                <w:rFonts w:hint="eastAsia" w:ascii="仿宋_GB2312" w:hAnsi="仿宋_GB2312" w:eastAsia="仿宋_GB2312" w:cs="仿宋_GB2312"/>
                <w:spacing w:val="-1"/>
                <w:sz w:val="24"/>
                <w:lang w:eastAsia="zh-CN"/>
              </w:rPr>
              <w:t>，</w:t>
            </w:r>
            <w:r>
              <w:rPr>
                <w:rFonts w:hint="eastAsia" w:ascii="仿宋_GB2312" w:hAnsi="仿宋_GB2312" w:eastAsia="仿宋_GB2312" w:cs="仿宋_GB2312"/>
                <w:spacing w:val="-1"/>
                <w:sz w:val="24"/>
              </w:rPr>
              <w:t>可以以附件形式附后</w:t>
            </w:r>
            <w:r>
              <w:rPr>
                <w:rFonts w:hint="eastAsia" w:ascii="仿宋_GB2312" w:hAnsi="仿宋_GB2312" w:eastAsia="仿宋_GB2312" w:cs="仿宋_GB2312"/>
                <w:spacing w:val="-1"/>
                <w:sz w:val="24"/>
                <w:lang w:eastAsia="zh-CN"/>
              </w:rPr>
              <w:t>）</w:t>
            </w:r>
          </w:p>
        </w:tc>
      </w:tr>
      <w:tr w14:paraId="61FF26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7" w:hRule="atLeast"/>
        </w:trPr>
        <w:tc>
          <w:tcPr>
            <w:tcW w:w="2497" w:type="dxa"/>
            <w:gridSpan w:val="2"/>
            <w:tcBorders>
              <w:top w:val="single" w:color="000000" w:sz="2" w:space="0"/>
              <w:bottom w:val="single" w:color="000000" w:sz="2" w:space="0"/>
              <w:right w:val="single" w:color="auto" w:sz="4" w:space="0"/>
            </w:tcBorders>
            <w:vAlign w:val="center"/>
          </w:tcPr>
          <w:p w14:paraId="1635CAF9">
            <w:pPr>
              <w:spacing w:before="88" w:line="216" w:lineRule="auto"/>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项目采购单位意见</w:t>
            </w:r>
          </w:p>
          <w:p w14:paraId="28B86CE7">
            <w:pPr>
              <w:spacing w:before="88" w:line="216" w:lineRule="auto"/>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 xml:space="preserve">（盖章）： </w:t>
            </w:r>
          </w:p>
          <w:p w14:paraId="4636A778">
            <w:pPr>
              <w:spacing w:before="88" w:line="216" w:lineRule="auto"/>
              <w:rPr>
                <w:rFonts w:hint="eastAsia" w:ascii="仿宋_GB2312" w:hAnsi="仿宋_GB2312" w:eastAsia="仿宋_GB2312" w:cs="仿宋_GB2312"/>
                <w:spacing w:val="-1"/>
                <w:sz w:val="24"/>
              </w:rPr>
            </w:pPr>
          </w:p>
          <w:p w14:paraId="39C3805C">
            <w:pPr>
              <w:spacing w:before="88" w:line="216" w:lineRule="auto"/>
              <w:ind w:firstLine="2380" w:firstLineChars="1000"/>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 xml:space="preserve"> </w:t>
            </w:r>
          </w:p>
        </w:tc>
        <w:tc>
          <w:tcPr>
            <w:tcW w:w="3040" w:type="dxa"/>
            <w:gridSpan w:val="2"/>
            <w:tcBorders>
              <w:top w:val="single" w:color="000000" w:sz="2" w:space="0"/>
              <w:left w:val="single" w:color="auto" w:sz="4" w:space="0"/>
              <w:bottom w:val="single" w:color="000000" w:sz="2" w:space="0"/>
            </w:tcBorders>
            <w:vAlign w:val="center"/>
          </w:tcPr>
          <w:p w14:paraId="1C201421">
            <w:pPr>
              <w:spacing w:before="88" w:line="216" w:lineRule="auto"/>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业务申请人（签字）：</w:t>
            </w:r>
          </w:p>
          <w:p w14:paraId="15B0ED23">
            <w:pPr>
              <w:spacing w:before="88" w:line="216" w:lineRule="auto"/>
              <w:rPr>
                <w:rFonts w:hint="eastAsia" w:ascii="仿宋_GB2312" w:hAnsi="仿宋_GB2312" w:eastAsia="仿宋_GB2312" w:cs="仿宋_GB2312"/>
                <w:spacing w:val="-1"/>
                <w:sz w:val="24"/>
              </w:rPr>
            </w:pPr>
          </w:p>
          <w:p w14:paraId="3F862591">
            <w:pPr>
              <w:spacing w:before="88" w:line="216" w:lineRule="auto"/>
              <w:ind w:firstLine="714" w:firstLineChars="300"/>
              <w:rPr>
                <w:rFonts w:hint="eastAsia" w:ascii="仿宋_GB2312" w:hAnsi="仿宋_GB2312" w:eastAsia="仿宋_GB2312" w:cs="仿宋_GB2312"/>
                <w:spacing w:val="-1"/>
                <w:sz w:val="24"/>
              </w:rPr>
            </w:pPr>
          </w:p>
          <w:p w14:paraId="185BFAF4">
            <w:pPr>
              <w:spacing w:before="88" w:line="216" w:lineRule="auto"/>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日期</w:t>
            </w:r>
            <w:r>
              <w:rPr>
                <w:rFonts w:hint="eastAsia" w:ascii="仿宋_GB2312" w:hAnsi="仿宋_GB2312" w:eastAsia="仿宋_GB2312" w:cs="仿宋_GB2312"/>
                <w:spacing w:val="-1"/>
                <w:sz w:val="24"/>
                <w:lang w:eastAsia="zh-CN"/>
              </w:rPr>
              <w:t>：</w:t>
            </w:r>
          </w:p>
        </w:tc>
        <w:tc>
          <w:tcPr>
            <w:tcW w:w="3522" w:type="dxa"/>
            <w:gridSpan w:val="2"/>
            <w:tcBorders>
              <w:top w:val="single" w:color="000000" w:sz="2" w:space="0"/>
              <w:bottom w:val="single" w:color="000000" w:sz="2" w:space="0"/>
            </w:tcBorders>
          </w:tcPr>
          <w:p w14:paraId="1BB71CDD">
            <w:pPr>
              <w:spacing w:before="88" w:line="216" w:lineRule="auto"/>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部门负责人意见（签字）</w:t>
            </w:r>
            <w:r>
              <w:rPr>
                <w:rFonts w:hint="eastAsia" w:ascii="仿宋_GB2312" w:hAnsi="仿宋_GB2312" w:eastAsia="仿宋_GB2312" w:cs="仿宋_GB2312"/>
                <w:spacing w:val="-1"/>
                <w:sz w:val="24"/>
                <w:lang w:eastAsia="zh-CN"/>
              </w:rPr>
              <w:t>：</w:t>
            </w:r>
          </w:p>
          <w:p w14:paraId="5ADB02EE">
            <w:pPr>
              <w:spacing w:before="88" w:line="216" w:lineRule="auto"/>
              <w:ind w:firstLine="275"/>
              <w:rPr>
                <w:rFonts w:hint="eastAsia" w:ascii="仿宋_GB2312" w:hAnsi="仿宋_GB2312" w:eastAsia="仿宋_GB2312" w:cs="仿宋_GB2312"/>
                <w:spacing w:val="-1"/>
                <w:sz w:val="24"/>
              </w:rPr>
            </w:pPr>
          </w:p>
          <w:p w14:paraId="1F0C4A97">
            <w:pPr>
              <w:spacing w:before="88" w:line="216" w:lineRule="auto"/>
              <w:rPr>
                <w:rFonts w:hint="eastAsia" w:ascii="仿宋_GB2312" w:hAnsi="仿宋_GB2312" w:eastAsia="仿宋_GB2312" w:cs="仿宋_GB2312"/>
                <w:spacing w:val="-1"/>
                <w:sz w:val="24"/>
              </w:rPr>
            </w:pPr>
          </w:p>
          <w:p w14:paraId="35964C70">
            <w:pPr>
              <w:spacing w:before="88" w:line="216" w:lineRule="auto"/>
              <w:ind w:firstLine="238" w:firstLineChars="100"/>
              <w:rPr>
                <w:rFonts w:hint="eastAsia" w:ascii="仿宋_GB2312" w:hAnsi="仿宋_GB2312" w:eastAsia="仿宋_GB2312" w:cs="仿宋_GB2312"/>
                <w:sz w:val="24"/>
              </w:rPr>
            </w:pPr>
            <w:r>
              <w:rPr>
                <w:rFonts w:hint="eastAsia" w:ascii="仿宋_GB2312" w:hAnsi="仿宋_GB2312" w:eastAsia="仿宋_GB2312" w:cs="仿宋_GB2312"/>
                <w:spacing w:val="-1"/>
                <w:sz w:val="24"/>
              </w:rPr>
              <w:t>日期</w:t>
            </w:r>
            <w:r>
              <w:rPr>
                <w:rFonts w:hint="eastAsia" w:ascii="仿宋_GB2312" w:hAnsi="仿宋_GB2312" w:eastAsia="仿宋_GB2312" w:cs="仿宋_GB2312"/>
                <w:spacing w:val="-1"/>
                <w:sz w:val="24"/>
                <w:lang w:eastAsia="zh-CN"/>
              </w:rPr>
              <w:t>：</w:t>
            </w:r>
          </w:p>
        </w:tc>
      </w:tr>
      <w:tr w14:paraId="60972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0" w:hRule="atLeast"/>
        </w:trPr>
        <w:tc>
          <w:tcPr>
            <w:tcW w:w="1718" w:type="dxa"/>
            <w:tcBorders>
              <w:top w:val="single" w:color="000000" w:sz="2" w:space="0"/>
              <w:bottom w:val="single" w:color="000000" w:sz="2" w:space="0"/>
            </w:tcBorders>
            <w:vAlign w:val="center"/>
          </w:tcPr>
          <w:p w14:paraId="1470FC5C">
            <w:pPr>
              <w:spacing w:before="88" w:line="216" w:lineRule="auto"/>
              <w:jc w:val="center"/>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分管副总经理审核意见</w:t>
            </w:r>
          </w:p>
        </w:tc>
        <w:tc>
          <w:tcPr>
            <w:tcW w:w="7341" w:type="dxa"/>
            <w:gridSpan w:val="5"/>
            <w:tcBorders>
              <w:top w:val="single" w:color="000000" w:sz="2" w:space="0"/>
              <w:bottom w:val="single" w:color="000000" w:sz="2" w:space="0"/>
            </w:tcBorders>
          </w:tcPr>
          <w:p w14:paraId="4D8E1F13">
            <w:pPr>
              <w:spacing w:before="88" w:line="216" w:lineRule="auto"/>
              <w:ind w:firstLine="275"/>
              <w:rPr>
                <w:rFonts w:hint="eastAsia" w:ascii="仿宋_GB2312" w:hAnsi="仿宋_GB2312" w:eastAsia="仿宋_GB2312" w:cs="仿宋_GB2312"/>
                <w:spacing w:val="-1"/>
                <w:sz w:val="24"/>
              </w:rPr>
            </w:pPr>
          </w:p>
          <w:p w14:paraId="604B0AF2">
            <w:pPr>
              <w:spacing w:before="88" w:line="216" w:lineRule="auto"/>
              <w:ind w:firstLine="275"/>
              <w:rPr>
                <w:rFonts w:hint="eastAsia" w:ascii="仿宋_GB2312" w:hAnsi="仿宋_GB2312" w:eastAsia="仿宋_GB2312" w:cs="仿宋_GB2312"/>
                <w:spacing w:val="-1"/>
                <w:sz w:val="24"/>
              </w:rPr>
            </w:pPr>
          </w:p>
          <w:p w14:paraId="39EFC719">
            <w:pPr>
              <w:spacing w:before="74" w:line="277" w:lineRule="auto"/>
              <w:ind w:left="12"/>
              <w:rPr>
                <w:rFonts w:hint="eastAsia" w:ascii="仿宋_GB2312" w:hAnsi="仿宋_GB2312" w:eastAsia="仿宋_GB2312" w:cs="仿宋_GB2312"/>
                <w:sz w:val="24"/>
              </w:rPr>
            </w:pPr>
          </w:p>
          <w:p w14:paraId="3EB5D41D">
            <w:pPr>
              <w:spacing w:before="88" w:line="216" w:lineRule="auto"/>
              <w:ind w:firstLine="4586" w:firstLineChars="1927"/>
              <w:rPr>
                <w:rFonts w:hint="eastAsia" w:ascii="仿宋_GB2312" w:hAnsi="仿宋_GB2312" w:eastAsia="仿宋_GB2312" w:cs="仿宋_GB2312"/>
                <w:sz w:val="24"/>
              </w:rPr>
            </w:pPr>
            <w:r>
              <w:rPr>
                <w:rFonts w:hint="eastAsia" w:ascii="仿宋_GB2312" w:hAnsi="仿宋_GB2312" w:eastAsia="仿宋_GB2312" w:cs="仿宋_GB2312"/>
                <w:spacing w:val="-1"/>
                <w:sz w:val="24"/>
              </w:rPr>
              <w:t>日期：</w:t>
            </w:r>
          </w:p>
        </w:tc>
      </w:tr>
      <w:tr w14:paraId="04462C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67" w:hRule="atLeast"/>
        </w:trPr>
        <w:tc>
          <w:tcPr>
            <w:tcW w:w="1718" w:type="dxa"/>
            <w:tcBorders>
              <w:top w:val="single" w:color="000000" w:sz="2" w:space="0"/>
              <w:bottom w:val="single" w:color="000000" w:sz="2" w:space="0"/>
            </w:tcBorders>
            <w:vAlign w:val="center"/>
          </w:tcPr>
          <w:p w14:paraId="20F4763E">
            <w:pPr>
              <w:spacing w:before="88" w:line="216" w:lineRule="auto"/>
              <w:ind w:firstLine="275"/>
              <w:jc w:val="center"/>
              <w:rPr>
                <w:rFonts w:hint="eastAsia" w:ascii="仿宋_GB2312" w:hAnsi="仿宋_GB2312" w:eastAsia="仿宋_GB2312" w:cs="仿宋_GB2312"/>
                <w:spacing w:val="-1"/>
                <w:sz w:val="24"/>
              </w:rPr>
            </w:pPr>
            <w:r>
              <w:rPr>
                <w:rFonts w:hint="eastAsia" w:ascii="仿宋_GB2312" w:hAnsi="仿宋_GB2312" w:eastAsia="仿宋_GB2312" w:cs="仿宋_GB2312"/>
                <w:spacing w:val="-1"/>
                <w:sz w:val="24"/>
              </w:rPr>
              <w:t>招标领导小组领导审批</w:t>
            </w:r>
          </w:p>
        </w:tc>
        <w:tc>
          <w:tcPr>
            <w:tcW w:w="7341" w:type="dxa"/>
            <w:gridSpan w:val="5"/>
            <w:tcBorders>
              <w:top w:val="single" w:color="000000" w:sz="2" w:space="0"/>
              <w:bottom w:val="single" w:color="000000" w:sz="2" w:space="0"/>
            </w:tcBorders>
          </w:tcPr>
          <w:p w14:paraId="5D68F46D">
            <w:pPr>
              <w:spacing w:line="298" w:lineRule="auto"/>
              <w:rPr>
                <w:rFonts w:hint="eastAsia" w:ascii="仿宋_GB2312" w:hAnsi="仿宋_GB2312" w:eastAsia="仿宋_GB2312" w:cs="仿宋_GB2312"/>
                <w:sz w:val="24"/>
              </w:rPr>
            </w:pPr>
          </w:p>
          <w:p w14:paraId="1E75D384">
            <w:pPr>
              <w:spacing w:line="299" w:lineRule="auto"/>
              <w:rPr>
                <w:rFonts w:hint="eastAsia" w:ascii="仿宋_GB2312" w:hAnsi="仿宋_GB2312" w:eastAsia="仿宋_GB2312" w:cs="仿宋_GB2312"/>
                <w:sz w:val="24"/>
              </w:rPr>
            </w:pPr>
          </w:p>
          <w:p w14:paraId="2940213B">
            <w:pPr>
              <w:spacing w:before="88" w:line="220" w:lineRule="auto"/>
              <w:ind w:firstLine="4305"/>
              <w:rPr>
                <w:rFonts w:hint="eastAsia" w:ascii="仿宋_GB2312" w:hAnsi="仿宋_GB2312" w:eastAsia="仿宋_GB2312" w:cs="仿宋_GB2312"/>
                <w:spacing w:val="-12"/>
                <w:w w:val="94"/>
                <w:sz w:val="24"/>
              </w:rPr>
            </w:pPr>
          </w:p>
          <w:p w14:paraId="1C47A9B4">
            <w:pPr>
              <w:spacing w:before="88" w:line="220" w:lineRule="auto"/>
              <w:ind w:firstLine="4522" w:firstLineChars="1900"/>
              <w:rPr>
                <w:rFonts w:hint="eastAsia" w:ascii="仿宋_GB2312" w:hAnsi="仿宋_GB2312" w:eastAsia="仿宋_GB2312" w:cs="仿宋_GB2312"/>
                <w:sz w:val="24"/>
              </w:rPr>
            </w:pPr>
            <w:r>
              <w:rPr>
                <w:rFonts w:hint="eastAsia" w:ascii="仿宋_GB2312" w:hAnsi="仿宋_GB2312" w:eastAsia="仿宋_GB2312" w:cs="仿宋_GB2312"/>
                <w:spacing w:val="-1"/>
                <w:sz w:val="24"/>
              </w:rPr>
              <w:t>日 期</w:t>
            </w:r>
            <w:r>
              <w:rPr>
                <w:rFonts w:hint="eastAsia" w:ascii="仿宋_GB2312" w:hAnsi="仿宋_GB2312" w:eastAsia="仿宋_GB2312" w:cs="仿宋_GB2312"/>
                <w:spacing w:val="-1"/>
                <w:sz w:val="24"/>
                <w:lang w:eastAsia="zh-CN"/>
              </w:rPr>
              <w:t>：</w:t>
            </w:r>
          </w:p>
        </w:tc>
      </w:tr>
    </w:tbl>
    <w:p w14:paraId="1338D482">
      <w:pPr>
        <w:spacing w:before="88" w:line="216" w:lineRule="auto"/>
        <w:ind w:firstLine="714" w:firstLineChars="300"/>
        <w:jc w:val="left"/>
        <w:rPr>
          <w:rFonts w:hint="eastAsia" w:ascii="仿宋_GB2312" w:hAnsi="仿宋_GB2312" w:eastAsia="仿宋_GB2312" w:cs="仿宋_GB2312"/>
          <w:spacing w:val="-1"/>
          <w:sz w:val="24"/>
        </w:rPr>
      </w:pPr>
    </w:p>
    <w:p w14:paraId="063D369A">
      <w:pPr>
        <w:spacing w:before="88" w:line="216" w:lineRule="auto"/>
        <w:jc w:val="left"/>
        <w:rPr>
          <w:rFonts w:hint="eastAsia" w:ascii="仿宋_GB2312" w:hAnsi="仿宋_GB2312" w:eastAsia="仿宋_GB2312" w:cs="仿宋_GB2312"/>
          <w:spacing w:val="-1"/>
          <w:sz w:val="24"/>
        </w:rPr>
        <w:sectPr>
          <w:pgSz w:w="11906" w:h="16838"/>
          <w:pgMar w:top="1440" w:right="1800" w:bottom="1440" w:left="1800" w:header="851" w:footer="992" w:gutter="0"/>
          <w:cols w:space="425" w:num="1"/>
          <w:docGrid w:type="lines" w:linePitch="312" w:charSpace="0"/>
        </w:sectPr>
      </w:pPr>
    </w:p>
    <w:p w14:paraId="75646E56">
      <w:pPr>
        <w:jc w:val="left"/>
        <w:rPr>
          <w:rFonts w:hint="eastAsia" w:ascii="黑体" w:hAnsi="黑体" w:eastAsia="黑体" w:cs="黑体"/>
          <w:sz w:val="32"/>
          <w:szCs w:val="32"/>
        </w:rPr>
      </w:pPr>
      <w:r>
        <w:rPr>
          <w:rFonts w:hint="eastAsia" w:ascii="黑体" w:hAnsi="黑体" w:eastAsia="黑体" w:cs="黑体"/>
          <w:sz w:val="32"/>
          <w:szCs w:val="32"/>
        </w:rPr>
        <w:t>附表5</w:t>
      </w:r>
    </w:p>
    <w:p w14:paraId="28E9C285">
      <w:pPr>
        <w:pStyle w:val="9"/>
        <w:spacing w:line="480" w:lineRule="exact"/>
        <w:ind w:firstLine="0" w:firstLineChars="0"/>
        <w:jc w:val="center"/>
        <w:rPr>
          <w:rFonts w:hint="eastAsia" w:ascii="黑体" w:hAnsi="黑体" w:eastAsia="黑体" w:cs="黑体"/>
          <w:spacing w:val="-1"/>
          <w:sz w:val="36"/>
          <w:szCs w:val="36"/>
        </w:rPr>
      </w:pPr>
      <w:r>
        <w:rPr>
          <w:rFonts w:hint="eastAsia" w:ascii="方正小标宋简体" w:hAnsi="宋体" w:eastAsia="方正小标宋简体" w:cs="宋体"/>
          <w:bCs/>
          <w:kern w:val="0"/>
          <w:sz w:val="40"/>
          <w:szCs w:val="40"/>
        </w:rPr>
        <w:t>评标人员考评表</w:t>
      </w:r>
    </w:p>
    <w:p w14:paraId="2AD823BC">
      <w:pPr>
        <w:pStyle w:val="9"/>
        <w:spacing w:line="480" w:lineRule="exact"/>
        <w:ind w:firstLine="0" w:firstLineChars="0"/>
        <w:rPr>
          <w:rFonts w:hint="eastAsia" w:ascii="仿宋_GB2312" w:hAnsi="宋体" w:eastAsia="仿宋_GB2312" w:cs="宋体"/>
          <w:kern w:val="0"/>
          <w:szCs w:val="28"/>
        </w:rPr>
      </w:pPr>
      <w:r>
        <w:rPr>
          <w:rFonts w:hint="eastAsia" w:ascii="仿宋_GB2312" w:hAnsi="宋体" w:eastAsia="仿宋_GB2312" w:cs="宋体"/>
          <w:kern w:val="0"/>
          <w:szCs w:val="28"/>
        </w:rPr>
        <w:t>评标项目：                                                                评标日期：  年  月  日</w:t>
      </w:r>
    </w:p>
    <w:tbl>
      <w:tblPr>
        <w:tblStyle w:val="10"/>
        <w:tblW w:w="13937" w:type="dxa"/>
        <w:tblInd w:w="93" w:type="dxa"/>
        <w:tblLayout w:type="fixed"/>
        <w:tblCellMar>
          <w:top w:w="0" w:type="dxa"/>
          <w:left w:w="108" w:type="dxa"/>
          <w:bottom w:w="0" w:type="dxa"/>
          <w:right w:w="108" w:type="dxa"/>
        </w:tblCellMar>
      </w:tblPr>
      <w:tblGrid>
        <w:gridCol w:w="904"/>
        <w:gridCol w:w="7782"/>
        <w:gridCol w:w="1156"/>
        <w:gridCol w:w="1071"/>
        <w:gridCol w:w="3024"/>
      </w:tblGrid>
      <w:tr w14:paraId="1C913F72">
        <w:tblPrEx>
          <w:tblCellMar>
            <w:top w:w="0" w:type="dxa"/>
            <w:left w:w="108" w:type="dxa"/>
            <w:bottom w:w="0" w:type="dxa"/>
            <w:right w:w="108" w:type="dxa"/>
          </w:tblCellMar>
        </w:tblPrEx>
        <w:trPr>
          <w:trHeight w:val="183"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40DFBEB6">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序号</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62A416A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日常考评内容</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4C06940F">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评审人1</w:t>
            </w: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336AD98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w:t>
            </w:r>
          </w:p>
        </w:tc>
        <w:tc>
          <w:tcPr>
            <w:tcW w:w="3024" w:type="dxa"/>
            <w:tcBorders>
              <w:top w:val="single" w:color="000000" w:sz="4" w:space="0"/>
              <w:left w:val="single" w:color="000000" w:sz="4" w:space="0"/>
              <w:bottom w:val="single" w:color="000000" w:sz="4" w:space="0"/>
              <w:right w:val="single" w:color="000000" w:sz="4" w:space="0"/>
            </w:tcBorders>
            <w:noWrap/>
            <w:vAlign w:val="center"/>
          </w:tcPr>
          <w:p w14:paraId="25287806">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备  注</w:t>
            </w:r>
          </w:p>
        </w:tc>
      </w:tr>
      <w:tr w14:paraId="31984935">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0B3BB3E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0C71ADAA">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参加评标、评审活动，迟到、早退影响招标的（扣5分）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00201932">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A733CBF">
            <w:pPr>
              <w:jc w:val="center"/>
              <w:rPr>
                <w:rFonts w:hint="eastAsia" w:ascii="宋体" w:hAnsi="宋体" w:cs="宋体"/>
                <w:color w:val="000000"/>
                <w:sz w:val="24"/>
              </w:rPr>
            </w:pPr>
          </w:p>
        </w:tc>
        <w:tc>
          <w:tcPr>
            <w:tcW w:w="3024" w:type="dxa"/>
            <w:vMerge w:val="restart"/>
            <w:tcBorders>
              <w:top w:val="single" w:color="000000" w:sz="4" w:space="0"/>
              <w:left w:val="single" w:color="000000" w:sz="4" w:space="0"/>
              <w:bottom w:val="single" w:color="000000" w:sz="4" w:space="0"/>
              <w:right w:val="single" w:color="000000" w:sz="4" w:space="0"/>
            </w:tcBorders>
          </w:tcPr>
          <w:p w14:paraId="61EE6452">
            <w:pPr>
              <w:widowControl/>
              <w:jc w:val="left"/>
              <w:textAlignment w:val="top"/>
              <w:rPr>
                <w:rFonts w:hint="eastAsia" w:ascii="宋体" w:hAnsi="宋体" w:cs="宋体"/>
                <w:color w:val="000000"/>
                <w:kern w:val="0"/>
                <w:sz w:val="24"/>
                <w:lang w:bidi="ar"/>
              </w:rPr>
            </w:pPr>
            <w:r>
              <w:rPr>
                <w:rFonts w:hint="eastAsia" w:ascii="宋体" w:hAnsi="宋体" w:cs="宋体"/>
                <w:color w:val="000000"/>
                <w:kern w:val="0"/>
                <w:sz w:val="24"/>
                <w:lang w:val="en-US" w:eastAsia="zh-CN" w:bidi="ar"/>
              </w:rPr>
              <w:t>1</w:t>
            </w:r>
            <w:r>
              <w:rPr>
                <w:rFonts w:hint="eastAsia" w:ascii="宋体" w:hAnsi="宋体" w:cs="宋体"/>
                <w:color w:val="000000"/>
                <w:kern w:val="0"/>
                <w:sz w:val="24"/>
                <w:lang w:bidi="ar"/>
              </w:rPr>
              <w:t>.日常考评周期为每年元月1日起至12月31日。</w:t>
            </w:r>
          </w:p>
          <w:p w14:paraId="118B8C76">
            <w:pPr>
              <w:widowControl/>
              <w:jc w:val="left"/>
              <w:textAlignment w:val="top"/>
              <w:rPr>
                <w:rFonts w:hint="eastAsia" w:ascii="宋体" w:hAnsi="宋体" w:cs="宋体"/>
                <w:color w:val="000000"/>
                <w:kern w:val="0"/>
                <w:sz w:val="24"/>
                <w:lang w:bidi="ar"/>
              </w:rPr>
            </w:pPr>
            <w:r>
              <w:rPr>
                <w:rFonts w:hint="eastAsia" w:ascii="宋体" w:hAnsi="宋体" w:cs="宋体"/>
                <w:color w:val="000000"/>
                <w:kern w:val="0"/>
                <w:sz w:val="24"/>
                <w:lang w:bidi="ar"/>
              </w:rPr>
              <w:t>2.年度考评得分为90分及以上的，考评结果为“优秀”</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年度考评得分为90分以下60分</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含</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以上的，考评结果为“合格”</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年度考评得分为60分以下的，考评结果为“不合格”，暂停一年评标资格，并通报批评。</w:t>
            </w:r>
          </w:p>
          <w:p w14:paraId="61D89164">
            <w:pPr>
              <w:widowControl/>
              <w:jc w:val="left"/>
              <w:textAlignment w:val="top"/>
              <w:rPr>
                <w:rFonts w:hint="default" w:ascii="宋体" w:hAnsi="宋体" w:eastAsia="宋体" w:cs="宋体"/>
                <w:color w:val="000000"/>
                <w:kern w:val="0"/>
                <w:sz w:val="24"/>
                <w:lang w:val="en-US" w:eastAsia="zh-CN" w:bidi="ar"/>
              </w:rPr>
            </w:pPr>
          </w:p>
        </w:tc>
      </w:tr>
      <w:tr w14:paraId="70D1753C">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3A3D54E4">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5DEE721D">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不按招标室规定存放通讯工具、评标中乱接打电话的（扣5分）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1F9CA0B9">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56CE990B">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4ED231E8">
            <w:pPr>
              <w:jc w:val="left"/>
              <w:rPr>
                <w:rFonts w:hint="eastAsia" w:ascii="宋体" w:hAnsi="宋体" w:cs="宋体"/>
                <w:color w:val="000000"/>
                <w:sz w:val="24"/>
              </w:rPr>
            </w:pPr>
          </w:p>
        </w:tc>
      </w:tr>
      <w:tr w14:paraId="20FCDA7F">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2E8B647A">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3</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349A6287">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不参与评标、评审活动又不及时请假（扣5分）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21C2B674">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5DE38B6">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79327D46">
            <w:pPr>
              <w:jc w:val="left"/>
              <w:rPr>
                <w:rFonts w:hint="eastAsia" w:ascii="宋体" w:hAnsi="宋体" w:cs="宋体"/>
                <w:color w:val="000000"/>
                <w:sz w:val="24"/>
              </w:rPr>
            </w:pPr>
          </w:p>
        </w:tc>
      </w:tr>
      <w:tr w14:paraId="2F57D807">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1F56FB8D">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66FD19A6">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评审过程中不得临时更换评委或允许其他人员进入评标室（扣5分）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16CDF5CF">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65BCD61">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3AE2F182">
            <w:pPr>
              <w:jc w:val="left"/>
              <w:rPr>
                <w:rFonts w:hint="eastAsia" w:ascii="宋体" w:hAnsi="宋体" w:cs="宋体"/>
                <w:color w:val="000000"/>
                <w:sz w:val="24"/>
              </w:rPr>
            </w:pPr>
          </w:p>
        </w:tc>
      </w:tr>
      <w:tr w14:paraId="450E5735">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5807492D">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5</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2A8F2BE0">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无故拖延评标、评审时间（扣5分）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5192F2C3">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D77FA22">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4EC3B547">
            <w:pPr>
              <w:jc w:val="left"/>
              <w:rPr>
                <w:rFonts w:hint="eastAsia" w:ascii="宋体" w:hAnsi="宋体" w:cs="宋体"/>
                <w:color w:val="000000"/>
                <w:sz w:val="24"/>
              </w:rPr>
            </w:pPr>
          </w:p>
        </w:tc>
      </w:tr>
      <w:tr w14:paraId="51DAF8BA">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5234741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41570035">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无正当理由拒绝在评标、评审报告上签字（扣5分）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41AFC746">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F7C8FFD">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38ACA24B">
            <w:pPr>
              <w:jc w:val="left"/>
              <w:rPr>
                <w:rFonts w:hint="eastAsia" w:ascii="宋体" w:hAnsi="宋体" w:cs="宋体"/>
                <w:color w:val="000000"/>
                <w:sz w:val="24"/>
              </w:rPr>
            </w:pPr>
          </w:p>
        </w:tc>
      </w:tr>
      <w:tr w14:paraId="3D55D715">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5884DD7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7</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7C3145FE">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不配合对评标、评审结果的异议、质疑、投诉等事项答复（扣5分）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095715B7">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CE8CB72">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39D1B692">
            <w:pPr>
              <w:jc w:val="left"/>
              <w:rPr>
                <w:rFonts w:hint="eastAsia" w:ascii="宋体" w:hAnsi="宋体" w:cs="宋体"/>
                <w:color w:val="000000"/>
                <w:sz w:val="24"/>
              </w:rPr>
            </w:pPr>
          </w:p>
        </w:tc>
      </w:tr>
      <w:tr w14:paraId="585F0283">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21290484">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3D9F0529">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将评标、评审过程中涉及的资料或数据信息带离评标评审区域（扣5分）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1895BB22">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4338B489">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7172B38C">
            <w:pPr>
              <w:jc w:val="left"/>
              <w:rPr>
                <w:rFonts w:hint="eastAsia" w:ascii="宋体" w:hAnsi="宋体" w:cs="宋体"/>
                <w:color w:val="000000"/>
                <w:sz w:val="24"/>
              </w:rPr>
            </w:pPr>
          </w:p>
        </w:tc>
      </w:tr>
      <w:tr w14:paraId="7BF9FFB6">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4FF030C8">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9</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4C8C56A7">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评标、评审结论被复议且发现有明显失误（扣10分）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3EE51105">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4CACA2D">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22BB06A0">
            <w:pPr>
              <w:jc w:val="left"/>
              <w:rPr>
                <w:rFonts w:hint="eastAsia" w:ascii="宋体" w:hAnsi="宋体" w:cs="宋体"/>
                <w:color w:val="000000"/>
                <w:sz w:val="24"/>
              </w:rPr>
            </w:pPr>
          </w:p>
        </w:tc>
      </w:tr>
      <w:tr w14:paraId="55BA64BB">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40D3F648">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10</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1E9C0A17">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对应当否决的交易要约文件，不提出否决意见（扣5分）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633BD757">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09C10D49">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4E27537B">
            <w:pPr>
              <w:jc w:val="left"/>
              <w:rPr>
                <w:rFonts w:hint="eastAsia" w:ascii="宋体" w:hAnsi="宋体" w:cs="宋体"/>
                <w:color w:val="000000"/>
                <w:sz w:val="24"/>
              </w:rPr>
            </w:pPr>
          </w:p>
        </w:tc>
      </w:tr>
      <w:tr w14:paraId="0296CD19">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6AB74BF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11</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14EA7AD5">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未按交易要约邀请文件规定的标准和方法评标、评审（扣10分）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0276FC06">
            <w:pPr>
              <w:jc w:val="left"/>
              <w:rPr>
                <w:rFonts w:hint="eastAsia" w:ascii="宋体" w:hAnsi="宋体" w:cs="宋体"/>
                <w:color w:val="FF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9AF1FF6">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3E69F989">
            <w:pPr>
              <w:jc w:val="left"/>
              <w:rPr>
                <w:rFonts w:hint="eastAsia" w:ascii="宋体" w:hAnsi="宋体" w:cs="宋体"/>
                <w:color w:val="000000"/>
                <w:sz w:val="24"/>
              </w:rPr>
            </w:pPr>
          </w:p>
        </w:tc>
      </w:tr>
      <w:tr w14:paraId="327DE851">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6E46E0C4">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12</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3029B13F">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暗示或者诱导投标人作出澄清、说明（扣10分）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4A8199F9">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8FCC85C">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449F68A2">
            <w:pPr>
              <w:jc w:val="left"/>
              <w:rPr>
                <w:rFonts w:hint="eastAsia" w:ascii="宋体" w:hAnsi="宋体" w:cs="宋体"/>
                <w:color w:val="000000"/>
                <w:sz w:val="24"/>
              </w:rPr>
            </w:pPr>
          </w:p>
        </w:tc>
      </w:tr>
      <w:tr w14:paraId="6FBBD0C1">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2346409F">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13</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5929DB64">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评标评审过程中，擅自离开评标区域的（扣5分）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35D27E0B">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73A495B">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421D0E56">
            <w:pPr>
              <w:jc w:val="left"/>
              <w:rPr>
                <w:rFonts w:hint="eastAsia" w:ascii="宋体" w:hAnsi="宋体" w:cs="宋体"/>
                <w:color w:val="000000"/>
                <w:sz w:val="24"/>
              </w:rPr>
            </w:pPr>
          </w:p>
        </w:tc>
      </w:tr>
      <w:tr w14:paraId="35B247E1">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13448250">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14</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4647F6D4">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评审人员未及时发现投标人存在围标串标行为（扣10分）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51D4EC98">
            <w:pPr>
              <w:jc w:val="left"/>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70856B4B">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4972018D">
            <w:pPr>
              <w:jc w:val="left"/>
              <w:rPr>
                <w:rFonts w:hint="eastAsia" w:ascii="宋体" w:hAnsi="宋体" w:cs="宋体"/>
                <w:color w:val="000000"/>
                <w:sz w:val="24"/>
              </w:rPr>
            </w:pPr>
          </w:p>
        </w:tc>
      </w:tr>
      <w:tr w14:paraId="78988071">
        <w:tblPrEx>
          <w:tblCellMar>
            <w:top w:w="0" w:type="dxa"/>
            <w:left w:w="108" w:type="dxa"/>
            <w:bottom w:w="0" w:type="dxa"/>
            <w:right w:w="108" w:type="dxa"/>
          </w:tblCellMar>
        </w:tblPrEx>
        <w:trPr>
          <w:trHeight w:val="112" w:hRule="atLeast"/>
        </w:trPr>
        <w:tc>
          <w:tcPr>
            <w:tcW w:w="904" w:type="dxa"/>
            <w:tcBorders>
              <w:top w:val="single" w:color="000000" w:sz="4" w:space="0"/>
              <w:left w:val="single" w:color="000000" w:sz="4" w:space="0"/>
              <w:bottom w:val="single" w:color="000000" w:sz="4" w:space="0"/>
              <w:right w:val="single" w:color="000000" w:sz="4" w:space="0"/>
            </w:tcBorders>
            <w:noWrap/>
            <w:vAlign w:val="center"/>
          </w:tcPr>
          <w:p w14:paraId="137C4B6C">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15</w:t>
            </w:r>
          </w:p>
        </w:tc>
        <w:tc>
          <w:tcPr>
            <w:tcW w:w="7782" w:type="dxa"/>
            <w:tcBorders>
              <w:top w:val="single" w:color="000000" w:sz="4" w:space="0"/>
              <w:left w:val="single" w:color="000000" w:sz="4" w:space="0"/>
              <w:bottom w:val="single" w:color="000000" w:sz="4" w:space="0"/>
              <w:right w:val="single" w:color="000000" w:sz="4" w:space="0"/>
            </w:tcBorders>
            <w:noWrap/>
            <w:vAlign w:val="center"/>
          </w:tcPr>
          <w:p w14:paraId="2266290E">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其他不客观、不公正履行评标、评审职责的行为（扣10分）</w:t>
            </w:r>
          </w:p>
        </w:tc>
        <w:tc>
          <w:tcPr>
            <w:tcW w:w="1156" w:type="dxa"/>
            <w:tcBorders>
              <w:top w:val="single" w:color="000000" w:sz="4" w:space="0"/>
              <w:left w:val="single" w:color="000000" w:sz="4" w:space="0"/>
              <w:bottom w:val="single" w:color="000000" w:sz="4" w:space="0"/>
              <w:right w:val="single" w:color="000000" w:sz="4" w:space="0"/>
            </w:tcBorders>
            <w:noWrap/>
            <w:vAlign w:val="center"/>
          </w:tcPr>
          <w:p w14:paraId="4441C81D">
            <w:pPr>
              <w:jc w:val="left"/>
              <w:rPr>
                <w:rFonts w:hint="eastAsia" w:ascii="宋体" w:hAnsi="宋体" w:cs="宋体"/>
                <w:color w:val="FF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2AA6EC0F">
            <w:pPr>
              <w:jc w:val="cente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60BAC806">
            <w:pPr>
              <w:jc w:val="left"/>
              <w:rPr>
                <w:rFonts w:hint="eastAsia" w:ascii="宋体" w:hAnsi="宋体" w:cs="宋体"/>
                <w:color w:val="000000"/>
                <w:sz w:val="24"/>
              </w:rPr>
            </w:pPr>
          </w:p>
        </w:tc>
      </w:tr>
      <w:tr w14:paraId="19772136">
        <w:tblPrEx>
          <w:tblCellMar>
            <w:top w:w="0" w:type="dxa"/>
            <w:left w:w="108" w:type="dxa"/>
            <w:bottom w:w="0" w:type="dxa"/>
            <w:right w:w="108" w:type="dxa"/>
          </w:tblCellMar>
        </w:tblPrEx>
        <w:trPr>
          <w:trHeight w:val="116" w:hRule="atLeast"/>
        </w:trPr>
        <w:tc>
          <w:tcPr>
            <w:tcW w:w="8686" w:type="dxa"/>
            <w:gridSpan w:val="2"/>
            <w:tcBorders>
              <w:top w:val="single" w:color="000000" w:sz="4" w:space="0"/>
              <w:left w:val="single" w:color="000000" w:sz="4" w:space="0"/>
              <w:bottom w:val="single" w:color="000000" w:sz="4" w:space="0"/>
              <w:right w:val="single" w:color="000000" w:sz="4" w:space="0"/>
            </w:tcBorders>
            <w:noWrap/>
            <w:vAlign w:val="center"/>
          </w:tcPr>
          <w:p w14:paraId="0D846F55">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合   计</w:t>
            </w:r>
          </w:p>
        </w:tc>
        <w:tc>
          <w:tcPr>
            <w:tcW w:w="1156" w:type="dxa"/>
            <w:tcBorders>
              <w:top w:val="single" w:color="000000" w:sz="4" w:space="0"/>
              <w:left w:val="nil"/>
              <w:bottom w:val="single" w:color="000000" w:sz="4" w:space="0"/>
              <w:right w:val="single" w:color="000000" w:sz="4" w:space="0"/>
            </w:tcBorders>
            <w:noWrap/>
            <w:vAlign w:val="center"/>
          </w:tcPr>
          <w:p w14:paraId="2CAFC228">
            <w:pPr>
              <w:jc w:val="center"/>
              <w:rPr>
                <w:rFonts w:hint="eastAsia" w:ascii="宋体" w:hAnsi="宋体" w:cs="宋体"/>
                <w:color w:val="000000"/>
                <w:sz w:val="24"/>
              </w:rPr>
            </w:pPr>
          </w:p>
        </w:tc>
        <w:tc>
          <w:tcPr>
            <w:tcW w:w="1071" w:type="dxa"/>
            <w:tcBorders>
              <w:top w:val="single" w:color="000000" w:sz="4" w:space="0"/>
              <w:left w:val="single" w:color="000000" w:sz="4" w:space="0"/>
              <w:bottom w:val="single" w:color="000000" w:sz="4" w:space="0"/>
              <w:right w:val="single" w:color="000000" w:sz="4" w:space="0"/>
            </w:tcBorders>
            <w:noWrap/>
            <w:vAlign w:val="center"/>
          </w:tcPr>
          <w:p w14:paraId="6DB84DCC">
            <w:pPr>
              <w:rPr>
                <w:rFonts w:hint="eastAsia" w:ascii="宋体" w:hAnsi="宋体" w:cs="宋体"/>
                <w:color w:val="000000"/>
                <w:sz w:val="24"/>
              </w:rPr>
            </w:pPr>
          </w:p>
        </w:tc>
        <w:tc>
          <w:tcPr>
            <w:tcW w:w="3024" w:type="dxa"/>
            <w:vMerge w:val="continue"/>
            <w:tcBorders>
              <w:top w:val="single" w:color="000000" w:sz="4" w:space="0"/>
              <w:left w:val="single" w:color="000000" w:sz="4" w:space="0"/>
              <w:bottom w:val="single" w:color="000000" w:sz="4" w:space="0"/>
              <w:right w:val="single" w:color="000000" w:sz="4" w:space="0"/>
            </w:tcBorders>
          </w:tcPr>
          <w:p w14:paraId="528D8012">
            <w:pPr>
              <w:jc w:val="left"/>
              <w:rPr>
                <w:rFonts w:hint="eastAsia" w:ascii="宋体" w:hAnsi="宋体" w:cs="宋体"/>
                <w:color w:val="000000"/>
                <w:sz w:val="24"/>
              </w:rPr>
            </w:pPr>
          </w:p>
        </w:tc>
      </w:tr>
    </w:tbl>
    <w:p w14:paraId="0A41D2F6">
      <w:pPr>
        <w:pStyle w:val="9"/>
        <w:ind w:firstLine="0" w:firstLineChars="0"/>
        <w:rPr>
          <w:rFonts w:hint="eastAsia" w:ascii="仿宋_GB2312" w:hAnsi="宋体" w:eastAsia="仿宋_GB2312" w:cs="宋体"/>
          <w:kern w:val="0"/>
          <w:szCs w:val="28"/>
        </w:rPr>
      </w:pPr>
    </w:p>
    <w:p w14:paraId="1A46DFA4">
      <w:pPr>
        <w:pStyle w:val="14"/>
        <w:sectPr>
          <w:pgSz w:w="16838" w:h="11906" w:orient="landscape"/>
          <w:pgMar w:top="1800" w:right="1440" w:bottom="1800" w:left="1440" w:header="851" w:footer="992" w:gutter="0"/>
          <w:cols w:space="425" w:num="1"/>
          <w:docGrid w:type="lines" w:linePitch="312" w:charSpace="0"/>
        </w:sectPr>
      </w:pPr>
    </w:p>
    <w:p w14:paraId="2BFE59DE">
      <w:pPr>
        <w:jc w:val="left"/>
        <w:rPr>
          <w:rFonts w:hint="eastAsia" w:ascii="黑体" w:hAnsi="黑体" w:eastAsia="黑体" w:cs="黑体"/>
          <w:sz w:val="32"/>
          <w:szCs w:val="32"/>
        </w:rPr>
      </w:pPr>
      <w:r>
        <w:rPr>
          <w:rFonts w:hint="eastAsia" w:ascii="黑体" w:hAnsi="黑体" w:eastAsia="黑体" w:cs="黑体"/>
          <w:sz w:val="32"/>
          <w:szCs w:val="32"/>
        </w:rPr>
        <w:t>附表6</w:t>
      </w:r>
    </w:p>
    <w:tbl>
      <w:tblPr>
        <w:tblStyle w:val="10"/>
        <w:tblW w:w="9375" w:type="dxa"/>
        <w:jc w:val="center"/>
        <w:tblLayout w:type="autofit"/>
        <w:tblCellMar>
          <w:top w:w="0" w:type="dxa"/>
          <w:left w:w="108" w:type="dxa"/>
          <w:bottom w:w="0" w:type="dxa"/>
          <w:right w:w="108" w:type="dxa"/>
        </w:tblCellMar>
      </w:tblPr>
      <w:tblGrid>
        <w:gridCol w:w="1931"/>
        <w:gridCol w:w="1668"/>
        <w:gridCol w:w="1438"/>
        <w:gridCol w:w="1931"/>
        <w:gridCol w:w="2407"/>
      </w:tblGrid>
      <w:tr w14:paraId="07A44ECD">
        <w:trPr>
          <w:trHeight w:val="700" w:hRule="atLeast"/>
          <w:jc w:val="center"/>
        </w:trPr>
        <w:tc>
          <w:tcPr>
            <w:tcW w:w="9375" w:type="dxa"/>
            <w:gridSpan w:val="5"/>
            <w:tcBorders>
              <w:top w:val="nil"/>
              <w:left w:val="nil"/>
              <w:bottom w:val="nil"/>
              <w:right w:val="nil"/>
            </w:tcBorders>
            <w:noWrap/>
            <w:vAlign w:val="bottom"/>
          </w:tcPr>
          <w:p w14:paraId="57CA5178">
            <w:pPr>
              <w:widowControl/>
              <w:jc w:val="center"/>
              <w:textAlignment w:val="bottom"/>
              <w:rPr>
                <w:rFonts w:hint="eastAsia" w:ascii="宋体" w:hAnsi="宋体" w:cs="宋体"/>
                <w:b/>
                <w:bCs/>
                <w:color w:val="000000"/>
                <w:sz w:val="44"/>
                <w:szCs w:val="44"/>
              </w:rPr>
            </w:pPr>
            <w:r>
              <w:rPr>
                <w:rFonts w:hint="eastAsia" w:ascii="宋体" w:hAnsi="宋体" w:cs="宋体"/>
                <w:b/>
                <w:bCs/>
                <w:color w:val="000000"/>
                <w:kern w:val="0"/>
                <w:sz w:val="44"/>
                <w:szCs w:val="44"/>
                <w:lang w:bidi="ar"/>
              </w:rPr>
              <w:t>人员推荐表</w:t>
            </w:r>
          </w:p>
        </w:tc>
      </w:tr>
      <w:tr w14:paraId="65F5F139">
        <w:tblPrEx>
          <w:tblCellMar>
            <w:top w:w="0" w:type="dxa"/>
            <w:left w:w="108" w:type="dxa"/>
            <w:bottom w:w="0" w:type="dxa"/>
            <w:right w:w="108" w:type="dxa"/>
          </w:tblCellMar>
        </w:tblPrEx>
        <w:trPr>
          <w:trHeight w:val="998"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56FB8A8">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项目名称</w:t>
            </w:r>
          </w:p>
        </w:tc>
        <w:tc>
          <w:tcPr>
            <w:tcW w:w="7500" w:type="dxa"/>
            <w:gridSpan w:val="4"/>
            <w:tcBorders>
              <w:top w:val="single" w:color="000000" w:sz="4" w:space="0"/>
              <w:left w:val="single" w:color="000000" w:sz="4" w:space="0"/>
              <w:bottom w:val="single" w:color="000000" w:sz="4" w:space="0"/>
              <w:right w:val="single" w:color="000000" w:sz="4" w:space="0"/>
            </w:tcBorders>
            <w:vAlign w:val="center"/>
          </w:tcPr>
          <w:p w14:paraId="6A0BE8FC">
            <w:pPr>
              <w:jc w:val="center"/>
              <w:rPr>
                <w:rFonts w:hint="eastAsia" w:ascii="宋体" w:hAnsi="宋体" w:cs="宋体"/>
                <w:color w:val="000000"/>
                <w:sz w:val="24"/>
              </w:rPr>
            </w:pPr>
          </w:p>
        </w:tc>
      </w:tr>
      <w:tr w14:paraId="11DD50E1">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7340434">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评审时间</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1921955">
            <w:pPr>
              <w:jc w:val="center"/>
              <w:rPr>
                <w:rFonts w:hint="eastAsia" w:ascii="宋体" w:hAnsi="宋体" w:cs="宋体"/>
                <w:color w:val="000000"/>
                <w:sz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E28E93">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评审地点</w:t>
            </w:r>
          </w:p>
        </w:tc>
        <w:tc>
          <w:tcPr>
            <w:tcW w:w="1875" w:type="dxa"/>
            <w:tcBorders>
              <w:top w:val="single" w:color="000000" w:sz="4" w:space="0"/>
              <w:left w:val="single" w:color="000000" w:sz="4" w:space="0"/>
              <w:bottom w:val="single" w:color="000000" w:sz="4" w:space="0"/>
              <w:right w:val="single" w:color="000000" w:sz="4" w:space="0"/>
            </w:tcBorders>
            <w:vAlign w:val="center"/>
          </w:tcPr>
          <w:p w14:paraId="0A8455D4">
            <w:pPr>
              <w:jc w:val="center"/>
              <w:rPr>
                <w:rFonts w:hint="eastAsia" w:ascii="宋体" w:hAnsi="宋体" w:cs="宋体"/>
                <w:color w:val="000000"/>
                <w:sz w:val="24"/>
              </w:rPr>
            </w:pPr>
          </w:p>
        </w:tc>
      </w:tr>
      <w:tr w14:paraId="79124560">
        <w:tblPrEx>
          <w:tblCellMar>
            <w:top w:w="0" w:type="dxa"/>
            <w:left w:w="108" w:type="dxa"/>
            <w:bottom w:w="0" w:type="dxa"/>
            <w:right w:w="108" w:type="dxa"/>
          </w:tblCellMar>
        </w:tblPrEx>
        <w:trPr>
          <w:trHeight w:val="1000" w:hRule="atLeast"/>
          <w:jc w:val="center"/>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72747751">
            <w:pPr>
              <w:widowControl/>
              <w:jc w:val="center"/>
              <w:textAlignment w:val="center"/>
              <w:rPr>
                <w:rFonts w:hint="eastAsia" w:ascii="宋体" w:hAnsi="宋体" w:cs="宋体"/>
                <w:color w:val="000000"/>
                <w:sz w:val="32"/>
                <w:szCs w:val="32"/>
              </w:rPr>
            </w:pPr>
            <w:r>
              <w:rPr>
                <w:rFonts w:hint="eastAsia" w:ascii="宋体" w:hAnsi="宋体" w:cs="宋体"/>
                <w:color w:val="000000"/>
                <w:kern w:val="0"/>
                <w:sz w:val="32"/>
                <w:szCs w:val="32"/>
                <w:lang w:bidi="ar"/>
              </w:rPr>
              <w:t>推荐评委</w:t>
            </w:r>
          </w:p>
        </w:tc>
      </w:tr>
      <w:tr w14:paraId="72427F18">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CFC63E4">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110F3">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单</w:t>
            </w:r>
            <w:r>
              <w:rPr>
                <w:rStyle w:val="24"/>
                <w:lang w:bidi="ar"/>
              </w:rPr>
              <w:t xml:space="preserve">  </w:t>
            </w:r>
            <w:r>
              <w:rPr>
                <w:rStyle w:val="23"/>
                <w:lang w:bidi="ar"/>
              </w:rPr>
              <w:t>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43FC11">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姓</w:t>
            </w:r>
            <w:r>
              <w:rPr>
                <w:rStyle w:val="24"/>
                <w:lang w:bidi="ar"/>
              </w:rPr>
              <w:t xml:space="preserve"> </w:t>
            </w:r>
            <w:r>
              <w:rPr>
                <w:rStyle w:val="23"/>
                <w:lang w:bidi="ar"/>
              </w:rPr>
              <w:t>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29DE15">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职</w:t>
            </w:r>
            <w:r>
              <w:rPr>
                <w:rStyle w:val="24"/>
                <w:lang w:bidi="ar"/>
              </w:rPr>
              <w:t xml:space="preserve">  </w:t>
            </w:r>
            <w:r>
              <w:rPr>
                <w:rStyle w:val="23"/>
                <w:lang w:bidi="ar"/>
              </w:rPr>
              <w:t>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39B786">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推荐人</w:t>
            </w:r>
          </w:p>
        </w:tc>
      </w:tr>
      <w:tr w14:paraId="0E50FB8D">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C12BFBD">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52B7F5">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682D69">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A2F547">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A8805B">
            <w:pPr>
              <w:rPr>
                <w:rFonts w:hint="eastAsia" w:ascii="宋体" w:hAnsi="宋体" w:cs="宋体"/>
                <w:color w:val="000000"/>
                <w:sz w:val="28"/>
                <w:szCs w:val="28"/>
              </w:rPr>
            </w:pPr>
          </w:p>
        </w:tc>
      </w:tr>
      <w:tr w14:paraId="633F17ED">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3CF178E">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C7796D">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8A3871">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42BD5">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2499E">
            <w:pPr>
              <w:rPr>
                <w:rFonts w:hint="eastAsia" w:ascii="宋体" w:hAnsi="宋体" w:cs="宋体"/>
                <w:color w:val="000000"/>
                <w:sz w:val="28"/>
                <w:szCs w:val="28"/>
              </w:rPr>
            </w:pPr>
          </w:p>
        </w:tc>
      </w:tr>
      <w:tr w14:paraId="0F45C23F">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685BDA9">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C9B8B6">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0006B">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DD150F">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DDAF4">
            <w:pPr>
              <w:rPr>
                <w:rFonts w:hint="eastAsia" w:ascii="宋体" w:hAnsi="宋体" w:cs="宋体"/>
                <w:color w:val="000000"/>
                <w:sz w:val="28"/>
                <w:szCs w:val="28"/>
              </w:rPr>
            </w:pPr>
          </w:p>
        </w:tc>
      </w:tr>
      <w:tr w14:paraId="605BCD98">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239AB41">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6B9136">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AEB217">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F2F54B">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B92F63">
            <w:pPr>
              <w:rPr>
                <w:rFonts w:hint="eastAsia" w:ascii="宋体" w:hAnsi="宋体" w:cs="宋体"/>
                <w:color w:val="000000"/>
                <w:sz w:val="28"/>
                <w:szCs w:val="28"/>
              </w:rPr>
            </w:pPr>
          </w:p>
        </w:tc>
      </w:tr>
      <w:tr w14:paraId="3BC5647A">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CEB17E3">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026E0">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E016D2">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D86004">
            <w:pPr>
              <w:jc w:val="cente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83851">
            <w:pPr>
              <w:rPr>
                <w:rFonts w:hint="eastAsia" w:ascii="宋体" w:hAnsi="宋体" w:cs="宋体"/>
                <w:color w:val="000000"/>
                <w:sz w:val="28"/>
                <w:szCs w:val="28"/>
              </w:rPr>
            </w:pPr>
          </w:p>
        </w:tc>
      </w:tr>
      <w:tr w14:paraId="5ABC235D">
        <w:tblPrEx>
          <w:tblCellMar>
            <w:top w:w="0" w:type="dxa"/>
            <w:left w:w="108" w:type="dxa"/>
            <w:bottom w:w="0" w:type="dxa"/>
            <w:right w:w="108" w:type="dxa"/>
          </w:tblCellMar>
        </w:tblPrEx>
        <w:trPr>
          <w:trHeight w:val="1000" w:hRule="atLeast"/>
          <w:jc w:val="center"/>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1EAC8021">
            <w:pPr>
              <w:widowControl/>
              <w:jc w:val="center"/>
              <w:textAlignment w:val="center"/>
              <w:rPr>
                <w:rFonts w:hint="eastAsia" w:ascii="宋体" w:hAnsi="宋体" w:cs="宋体"/>
                <w:color w:val="000000"/>
                <w:sz w:val="32"/>
                <w:szCs w:val="32"/>
              </w:rPr>
            </w:pPr>
            <w:r>
              <w:rPr>
                <w:rFonts w:hint="eastAsia" w:ascii="宋体" w:hAnsi="宋体" w:cs="宋体"/>
                <w:color w:val="000000"/>
                <w:kern w:val="0"/>
                <w:sz w:val="32"/>
                <w:szCs w:val="32"/>
                <w:lang w:bidi="ar"/>
              </w:rPr>
              <w:t>监督人员</w:t>
            </w:r>
          </w:p>
        </w:tc>
      </w:tr>
      <w:tr w14:paraId="3E7DACBF">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EA59B85">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24C3D5F">
            <w:pP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1DB2953">
            <w:pP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FCD1764">
            <w:pP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A0720AF">
            <w:pPr>
              <w:rPr>
                <w:rFonts w:hint="eastAsia" w:ascii="宋体" w:hAnsi="宋体" w:cs="宋体"/>
                <w:color w:val="000000"/>
                <w:sz w:val="28"/>
                <w:szCs w:val="28"/>
              </w:rPr>
            </w:pPr>
          </w:p>
        </w:tc>
      </w:tr>
      <w:tr w14:paraId="4BC09FAB">
        <w:tblPrEx>
          <w:tblCellMar>
            <w:top w:w="0" w:type="dxa"/>
            <w:left w:w="108" w:type="dxa"/>
            <w:bottom w:w="0" w:type="dxa"/>
            <w:right w:w="108" w:type="dxa"/>
          </w:tblCellMar>
        </w:tblPrEx>
        <w:trPr>
          <w:trHeight w:val="10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658E6B0">
            <w:pPr>
              <w:widowControl/>
              <w:jc w:val="center"/>
              <w:textAlignment w:val="center"/>
              <w:rPr>
                <w:rFonts w:hint="eastAsia" w:ascii="宋体" w:hAnsi="宋体" w:cs="宋体"/>
                <w:color w:val="000000"/>
                <w:sz w:val="28"/>
                <w:szCs w:val="28"/>
              </w:rPr>
            </w:pPr>
            <w:r>
              <w:rPr>
                <w:rFonts w:hint="eastAsia" w:ascii="宋体" w:hAnsi="宋体" w:cs="宋体"/>
                <w:color w:val="000000"/>
                <w:kern w:val="0"/>
                <w:sz w:val="28"/>
                <w:szCs w:val="28"/>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B96DCD5">
            <w:pP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bottom"/>
          </w:tcPr>
          <w:p w14:paraId="75A2AA9F">
            <w:pP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bottom"/>
          </w:tcPr>
          <w:p w14:paraId="7C788E65">
            <w:pPr>
              <w:rPr>
                <w:rFonts w:hint="eastAsia" w:ascii="宋体" w:hAnsi="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7FBA39D">
            <w:pPr>
              <w:rPr>
                <w:rFonts w:hint="eastAsia" w:ascii="宋体" w:hAnsi="宋体" w:cs="宋体"/>
                <w:color w:val="000000"/>
                <w:sz w:val="28"/>
                <w:szCs w:val="28"/>
              </w:rPr>
            </w:pPr>
          </w:p>
        </w:tc>
      </w:tr>
    </w:tbl>
    <w:p w14:paraId="7CE73060">
      <w:pPr>
        <w:pStyle w:val="16"/>
        <w:ind w:firstLine="0" w:firstLineChars="0"/>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附件14</w:t>
      </w:r>
    </w:p>
    <w:p w14:paraId="4C37C810">
      <w:pPr>
        <w:spacing w:line="560" w:lineRule="exact"/>
        <w:jc w:val="center"/>
        <w:rPr>
          <w:rFonts w:hint="eastAsia" w:ascii="方正小标宋简体" w:hAnsi="方正小标宋简体" w:eastAsia="方正小标宋简体" w:cs="方正小标宋简体"/>
          <w:bCs/>
          <w:color w:val="000000"/>
          <w:spacing w:val="-20"/>
          <w:sz w:val="44"/>
          <w:szCs w:val="44"/>
        </w:rPr>
      </w:pPr>
      <w:r>
        <w:rPr>
          <w:rFonts w:hint="eastAsia" w:ascii="黑体" w:hAnsi="黑体" w:eastAsia="黑体" w:cs="黑体"/>
          <w:b w:val="0"/>
          <w:bCs/>
          <w:kern w:val="2"/>
          <w:sz w:val="44"/>
          <w:szCs w:val="44"/>
          <w:lang w:val="en-US" w:eastAsia="zh-CN" w:bidi="ar-SA"/>
        </w:rPr>
        <w:t>2026年合同管理办法</w:t>
      </w:r>
    </w:p>
    <w:p w14:paraId="1302EAF4">
      <w:pPr>
        <w:spacing w:line="560" w:lineRule="exact"/>
        <w:jc w:val="center"/>
        <w:rPr>
          <w:rFonts w:hint="eastAsia" w:ascii="方正小标宋简体" w:hAnsi="方正小标宋简体" w:eastAsia="方正小标宋简体" w:cs="方正小标宋简体"/>
          <w:bCs/>
          <w:color w:val="000000"/>
          <w:spacing w:val="-20"/>
          <w:sz w:val="44"/>
          <w:szCs w:val="44"/>
        </w:rPr>
      </w:pPr>
    </w:p>
    <w:p w14:paraId="71FC3DA6">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总则</w:t>
      </w:r>
    </w:p>
    <w:p w14:paraId="74D5ED2E">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第一条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为加强合同管理，规范经营行为，防控经营风险，维护公司合法权益，依据皖北煤电法务〔2024〕240号皖北煤电集团公司合同管理办法，结合企业实际，制定本办法。</w:t>
      </w:r>
    </w:p>
    <w:p w14:paraId="4DF902DC">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办法所称合同是指企业为实现一定的经济目的，与其他主体订立的各类设立、变更、终止权利义务关系的协议。</w:t>
      </w:r>
    </w:p>
    <w:p w14:paraId="64EF8338">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第三条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本办法所称合同管理包括合同签订前期的尽职调查、商谈洽谈、草拟、审查、履行、争议解决、变更终止、终结归档等全过程的管理。</w:t>
      </w:r>
    </w:p>
    <w:p w14:paraId="5389D841">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第四条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合同涉及对公司有重要影响的秘密，应当就该秘密的保密事项进行约定。</w:t>
      </w:r>
    </w:p>
    <w:p w14:paraId="6A3A1871">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第五条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合同按内容、金额分重大合同与一般合同两类进行管理。</w:t>
      </w:r>
    </w:p>
    <w:p w14:paraId="51C8974B">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重大合同包括：兼并重组、对外投资与合作、股权抵押与质押、产权转让；重大资产抵押与质押、重大资产报废与处置、经营性资产对外出租与出借；融资、担保合同；</w:t>
      </w:r>
      <w:r>
        <w:rPr>
          <w:rFonts w:hint="eastAsia" w:ascii="仿宋_GB2312" w:hAnsi="仿宋_GB2312" w:eastAsia="仿宋_GB2312" w:cs="仿宋_GB2312"/>
          <w:b w:val="0"/>
          <w:bCs w:val="0"/>
          <w:sz w:val="32"/>
          <w:szCs w:val="32"/>
          <w:lang w:val="en-US" w:eastAsia="zh-CN"/>
        </w:rPr>
        <w:t>经营场所租赁、土地租赁、征迁安置合同；</w:t>
      </w:r>
      <w:r>
        <w:rPr>
          <w:rFonts w:hint="eastAsia" w:ascii="仿宋_GB2312" w:hAnsi="仿宋_GB2312" w:eastAsia="仿宋_GB2312" w:cs="仿宋_GB2312"/>
          <w:b w:val="0"/>
          <w:bCs w:val="0"/>
          <w:sz w:val="32"/>
          <w:szCs w:val="32"/>
        </w:rPr>
        <w:t>100万元以上的技术服务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咨询合同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300万</w:t>
      </w:r>
      <w:r>
        <w:rPr>
          <w:rFonts w:hint="eastAsia" w:ascii="仿宋_GB2312" w:hAnsi="仿宋_GB2312" w:eastAsia="仿宋_GB2312" w:cs="仿宋_GB2312"/>
          <w:b w:val="0"/>
          <w:bCs w:val="0"/>
          <w:sz w:val="32"/>
          <w:szCs w:val="32"/>
          <w:lang w:val="en-US" w:eastAsia="zh-CN"/>
        </w:rPr>
        <w:t>元</w:t>
      </w:r>
      <w:r>
        <w:rPr>
          <w:rFonts w:hint="eastAsia" w:ascii="仿宋_GB2312" w:hAnsi="仿宋_GB2312" w:eastAsia="仿宋_GB2312" w:cs="仿宋_GB2312"/>
          <w:b w:val="0"/>
          <w:bCs w:val="0"/>
          <w:sz w:val="32"/>
          <w:szCs w:val="32"/>
        </w:rPr>
        <w:t>至500万</w:t>
      </w:r>
      <w:r>
        <w:rPr>
          <w:rFonts w:hint="eastAsia" w:ascii="仿宋_GB2312" w:hAnsi="仿宋_GB2312" w:eastAsia="仿宋_GB2312" w:cs="仿宋_GB2312"/>
          <w:b w:val="0"/>
          <w:bCs w:val="0"/>
          <w:sz w:val="32"/>
          <w:szCs w:val="32"/>
          <w:lang w:val="en-US" w:eastAsia="zh-CN"/>
        </w:rPr>
        <w:t>元</w:t>
      </w:r>
      <w:r>
        <w:rPr>
          <w:rFonts w:hint="eastAsia" w:ascii="仿宋_GB2312" w:hAnsi="仿宋_GB2312" w:eastAsia="仿宋_GB2312" w:cs="仿宋_GB2312"/>
          <w:b w:val="0"/>
          <w:bCs w:val="0"/>
          <w:sz w:val="32"/>
          <w:szCs w:val="32"/>
        </w:rPr>
        <w:t>以下</w:t>
      </w:r>
      <w:r>
        <w:rPr>
          <w:rFonts w:hint="eastAsia" w:ascii="仿宋_GB2312" w:hAnsi="仿宋_GB2312" w:eastAsia="仿宋_GB2312" w:cs="仿宋_GB2312"/>
          <w:b w:val="0"/>
          <w:bCs w:val="0"/>
          <w:sz w:val="32"/>
          <w:szCs w:val="32"/>
          <w:lang w:val="en-US" w:eastAsia="zh-CN"/>
        </w:rPr>
        <w:t>建设</w:t>
      </w:r>
      <w:r>
        <w:rPr>
          <w:rFonts w:hint="eastAsia" w:ascii="仿宋_GB2312" w:hAnsi="仿宋_GB2312" w:eastAsia="仿宋_GB2312" w:cs="仿宋_GB2312"/>
          <w:b w:val="0"/>
          <w:bCs w:val="0"/>
          <w:sz w:val="32"/>
          <w:szCs w:val="32"/>
        </w:rPr>
        <w:t>工程</w:t>
      </w:r>
      <w:r>
        <w:rPr>
          <w:rFonts w:hint="eastAsia" w:ascii="仿宋_GB2312" w:hAnsi="仿宋_GB2312" w:eastAsia="仿宋_GB2312" w:cs="仿宋_GB2312"/>
          <w:b w:val="0"/>
          <w:bCs w:val="0"/>
          <w:sz w:val="32"/>
          <w:szCs w:val="32"/>
          <w:lang w:val="en-US" w:eastAsia="zh-CN"/>
        </w:rPr>
        <w:t>合同、购销合同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500万元及以上建设</w:t>
      </w:r>
      <w:r>
        <w:rPr>
          <w:rFonts w:hint="eastAsia" w:ascii="仿宋_GB2312" w:hAnsi="仿宋_GB2312" w:eastAsia="仿宋_GB2312" w:cs="仿宋_GB2312"/>
          <w:b w:val="0"/>
          <w:bCs w:val="0"/>
          <w:sz w:val="32"/>
          <w:szCs w:val="32"/>
        </w:rPr>
        <w:t>工程</w:t>
      </w:r>
      <w:r>
        <w:rPr>
          <w:rFonts w:hint="eastAsia" w:ascii="仿宋_GB2312" w:hAnsi="仿宋_GB2312" w:eastAsia="仿宋_GB2312" w:cs="仿宋_GB2312"/>
          <w:b w:val="0"/>
          <w:bCs w:val="0"/>
          <w:sz w:val="32"/>
          <w:szCs w:val="32"/>
          <w:lang w:val="en-US" w:eastAsia="zh-CN"/>
        </w:rPr>
        <w:t>合同、购销合同由公司初审、上报集团公司法务部复审</w:t>
      </w:r>
      <w:r>
        <w:rPr>
          <w:rFonts w:hint="eastAsia" w:ascii="仿宋_GB2312" w:hAnsi="仿宋_GB2312" w:eastAsia="仿宋_GB2312" w:cs="仿宋_GB2312"/>
          <w:b w:val="0"/>
          <w:bCs w:val="0"/>
          <w:sz w:val="32"/>
          <w:szCs w:val="32"/>
        </w:rPr>
        <w:t>；其他对企业安全生产经营有重大影响的合同。</w:t>
      </w:r>
    </w:p>
    <w:p w14:paraId="1760F5D6">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正常煤炭采购和产品销售按煤炭采购和产品销售管理办法执行，不属于重大合同范畴</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属于一般合同。</w:t>
      </w:r>
    </w:p>
    <w:p w14:paraId="7DC3C132">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一般合同包括：重大合同以外的其他合同。</w:t>
      </w:r>
    </w:p>
    <w:p w14:paraId="59D78CAE">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p>
    <w:p w14:paraId="3D3CD03E">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管理机构及职责</w:t>
      </w:r>
    </w:p>
    <w:p w14:paraId="610DBCF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第六条 公司法定代表人代表公司订立合同、处理合同事务，对合同事务有最终决定权。法定代表人可以授权他人订立合同、处理合同事务。</w:t>
      </w:r>
    </w:p>
    <w:p w14:paraId="6717B695">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第七条 公司领导班子</w:t>
      </w:r>
      <w:r>
        <w:rPr>
          <w:rFonts w:hint="eastAsia" w:ascii="仿宋_GB2312" w:hAnsi="仿宋_GB2312" w:eastAsia="仿宋_GB2312" w:cs="仿宋_GB2312"/>
          <w:b w:val="0"/>
          <w:bCs w:val="0"/>
          <w:sz w:val="32"/>
          <w:szCs w:val="32"/>
          <w:lang w:val="en-US" w:eastAsia="zh-CN"/>
        </w:rPr>
        <w:t>和</w:t>
      </w:r>
      <w:r>
        <w:rPr>
          <w:rFonts w:hint="eastAsia" w:ascii="仿宋_GB2312" w:hAnsi="仿宋_GB2312" w:eastAsia="仿宋_GB2312" w:cs="仿宋_GB2312"/>
          <w:b w:val="0"/>
          <w:bCs w:val="0"/>
          <w:sz w:val="32"/>
          <w:szCs w:val="32"/>
        </w:rPr>
        <w:t>其他成员根据法定代表人授权订立合同，协助法定代表人处理分管范围的合同事务。</w:t>
      </w:r>
    </w:p>
    <w:p w14:paraId="13C46453">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第八条 各单位根据职能负责办理相关合同事项</w:t>
      </w:r>
      <w:r>
        <w:rPr>
          <w:rFonts w:hint="eastAsia" w:ascii="仿宋_GB2312" w:hAnsi="仿宋_GB2312" w:eastAsia="仿宋_GB2312" w:cs="仿宋_GB2312"/>
          <w:b w:val="0"/>
          <w:bCs w:val="0"/>
          <w:sz w:val="32"/>
          <w:szCs w:val="32"/>
          <w:lang w:eastAsia="zh-CN"/>
        </w:rPr>
        <w:t>：</w:t>
      </w:r>
    </w:p>
    <w:p w14:paraId="704970BB">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（一）经管物资部负责防腐保温土建类工程、废旧物资处置、邮寄服务等职责范围内合同起草、组织会审、签订，建立</w:t>
      </w:r>
      <w:r>
        <w:rPr>
          <w:rFonts w:hint="eastAsia" w:ascii="仿宋_GB2312" w:hAnsi="仿宋_GB2312" w:eastAsia="仿宋_GB2312" w:cs="仿宋_GB2312"/>
          <w:sz w:val="32"/>
          <w:szCs w:val="32"/>
          <w:lang w:eastAsia="zh-CN"/>
        </w:rPr>
        <w:t>合同台账</w:t>
      </w:r>
      <w:r>
        <w:rPr>
          <w:rFonts w:hint="eastAsia" w:ascii="仿宋_GB2312" w:hAnsi="仿宋_GB2312" w:eastAsia="仿宋_GB2312" w:cs="仿宋_GB2312"/>
          <w:sz w:val="32"/>
          <w:szCs w:val="32"/>
        </w:rPr>
        <w:t>；</w:t>
      </w:r>
    </w:p>
    <w:p w14:paraId="4C76B90F">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（二）销售采购部负责物资采购合同（含煤炭）起草、组织会审、签订，建立合同台账；负责销售合同起草、组织会审、签订，建立合同台账；</w:t>
      </w:r>
    </w:p>
    <w:p w14:paraId="01A6497F">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（三）生产技术部负责设计、技改工程等职责范围内合同起草、组织会审、签订，建立</w:t>
      </w:r>
      <w:r>
        <w:rPr>
          <w:rFonts w:hint="eastAsia" w:ascii="仿宋_GB2312" w:hAnsi="仿宋_GB2312" w:eastAsia="仿宋_GB2312" w:cs="仿宋_GB2312"/>
          <w:sz w:val="32"/>
          <w:szCs w:val="32"/>
          <w:lang w:eastAsia="zh-CN"/>
        </w:rPr>
        <w:t>合同台账</w:t>
      </w:r>
      <w:r>
        <w:rPr>
          <w:rFonts w:hint="eastAsia" w:ascii="仿宋_GB2312" w:hAnsi="仿宋_GB2312" w:eastAsia="仿宋_GB2312" w:cs="仿宋_GB2312"/>
          <w:sz w:val="32"/>
          <w:szCs w:val="32"/>
        </w:rPr>
        <w:t>；</w:t>
      </w:r>
    </w:p>
    <w:p w14:paraId="635E46D4">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（四）安全监管部负责危废、培训、体检、消防、环境检测等</w:t>
      </w:r>
      <w:r>
        <w:rPr>
          <w:rFonts w:hint="eastAsia" w:ascii="仿宋_GB2312" w:hAnsi="仿宋_GB2312" w:eastAsia="仿宋_GB2312" w:cs="仿宋_GB2312"/>
          <w:sz w:val="32"/>
          <w:szCs w:val="32"/>
        </w:rPr>
        <w:t>职责范围内</w:t>
      </w:r>
      <w:r>
        <w:rPr>
          <w:rFonts w:hint="eastAsia" w:ascii="仿宋_GB2312" w:hAnsi="仿宋_GB2312" w:eastAsia="仿宋_GB2312" w:cs="仿宋_GB2312"/>
          <w:kern w:val="0"/>
          <w:sz w:val="32"/>
          <w:szCs w:val="32"/>
        </w:rPr>
        <w:t>各项</w:t>
      </w:r>
      <w:r>
        <w:rPr>
          <w:rFonts w:hint="eastAsia" w:ascii="仿宋_GB2312" w:hAnsi="仿宋_GB2312" w:eastAsia="仿宋_GB2312" w:cs="仿宋_GB2312"/>
          <w:sz w:val="32"/>
          <w:szCs w:val="32"/>
        </w:rPr>
        <w:t>合同起草、组织会审、签订，建立</w:t>
      </w:r>
      <w:r>
        <w:rPr>
          <w:rFonts w:hint="eastAsia" w:ascii="仿宋_GB2312" w:hAnsi="仿宋_GB2312" w:eastAsia="仿宋_GB2312" w:cs="仿宋_GB2312"/>
          <w:sz w:val="32"/>
          <w:szCs w:val="32"/>
          <w:lang w:eastAsia="zh-CN"/>
        </w:rPr>
        <w:t>合同台账</w:t>
      </w:r>
      <w:r>
        <w:rPr>
          <w:rFonts w:hint="eastAsia" w:ascii="仿宋_GB2312" w:hAnsi="仿宋_GB2312" w:eastAsia="仿宋_GB2312" w:cs="仿宋_GB2312"/>
          <w:sz w:val="32"/>
          <w:szCs w:val="32"/>
        </w:rPr>
        <w:t>；</w:t>
      </w:r>
    </w:p>
    <w:p w14:paraId="32D02DFA">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（五）设备管理部负责加工、维修、维保、检测、安装等职责范围内的</w:t>
      </w:r>
      <w:r>
        <w:rPr>
          <w:rFonts w:hint="eastAsia" w:ascii="仿宋_GB2312" w:hAnsi="仿宋_GB2312" w:eastAsia="仿宋_GB2312" w:cs="仿宋_GB2312"/>
          <w:sz w:val="32"/>
          <w:szCs w:val="32"/>
        </w:rPr>
        <w:t>合同起草、组织会审、签订，建立</w:t>
      </w:r>
      <w:r>
        <w:rPr>
          <w:rFonts w:hint="eastAsia" w:ascii="仿宋_GB2312" w:hAnsi="仿宋_GB2312" w:eastAsia="仿宋_GB2312" w:cs="仿宋_GB2312"/>
          <w:sz w:val="32"/>
          <w:szCs w:val="32"/>
          <w:lang w:eastAsia="zh-CN"/>
        </w:rPr>
        <w:t>合同台账</w:t>
      </w:r>
      <w:r>
        <w:rPr>
          <w:rFonts w:hint="eastAsia" w:ascii="仿宋_GB2312" w:hAnsi="仿宋_GB2312" w:eastAsia="仿宋_GB2312" w:cs="仿宋_GB2312"/>
          <w:sz w:val="32"/>
          <w:szCs w:val="32"/>
        </w:rPr>
        <w:t>；</w:t>
      </w:r>
    </w:p>
    <w:p w14:paraId="77809188">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（六）财务部负责付款方式、质保金、发票、合同涉税事项的审核核定；负责履约保证金的收缴及返还，合同价款的支付等；</w:t>
      </w:r>
    </w:p>
    <w:p w14:paraId="1A5BF3B6">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（七）综合部负责后勤保障服务、食堂等</w:t>
      </w:r>
      <w:r>
        <w:rPr>
          <w:rFonts w:hint="eastAsia" w:ascii="仿宋_GB2312" w:hAnsi="仿宋_GB2312" w:eastAsia="仿宋_GB2312" w:cs="仿宋_GB2312"/>
          <w:kern w:val="0"/>
          <w:sz w:val="32"/>
          <w:szCs w:val="32"/>
        </w:rPr>
        <w:t>职责范围内的</w:t>
      </w:r>
      <w:r>
        <w:rPr>
          <w:rFonts w:hint="eastAsia" w:ascii="仿宋_GB2312" w:hAnsi="仿宋_GB2312" w:eastAsia="仿宋_GB2312" w:cs="仿宋_GB2312"/>
          <w:sz w:val="32"/>
          <w:szCs w:val="32"/>
        </w:rPr>
        <w:t>合同起草、组织会审、签订，建立</w:t>
      </w:r>
      <w:r>
        <w:rPr>
          <w:rFonts w:hint="eastAsia" w:ascii="仿宋_GB2312" w:hAnsi="仿宋_GB2312" w:eastAsia="仿宋_GB2312" w:cs="仿宋_GB2312"/>
          <w:sz w:val="32"/>
          <w:szCs w:val="32"/>
          <w:lang w:eastAsia="zh-CN"/>
        </w:rPr>
        <w:t>合同台账</w:t>
      </w:r>
      <w:r>
        <w:rPr>
          <w:rFonts w:hint="eastAsia" w:ascii="仿宋_GB2312" w:hAnsi="仿宋_GB2312" w:eastAsia="仿宋_GB2312" w:cs="仿宋_GB2312"/>
          <w:sz w:val="32"/>
          <w:szCs w:val="32"/>
        </w:rPr>
        <w:t>；负责合同盖章前的授权、审批的合规性审查；</w:t>
      </w:r>
      <w:r>
        <w:rPr>
          <w:rFonts w:hint="eastAsia" w:ascii="仿宋_GB2312" w:hAnsi="仿宋_GB2312" w:eastAsia="仿宋_GB2312" w:cs="仿宋_GB2312"/>
          <w:kern w:val="0"/>
          <w:sz w:val="32"/>
          <w:szCs w:val="32"/>
        </w:rPr>
        <w:t>合同专用章</w:t>
      </w:r>
      <w:r>
        <w:rPr>
          <w:rFonts w:hint="eastAsia" w:ascii="仿宋_GB2312" w:hAnsi="仿宋_GB2312" w:eastAsia="仿宋_GB2312" w:cs="仿宋_GB2312"/>
          <w:sz w:val="32"/>
          <w:szCs w:val="32"/>
        </w:rPr>
        <w:t>加盖</w:t>
      </w:r>
      <w:r>
        <w:rPr>
          <w:rFonts w:hint="eastAsia" w:ascii="仿宋_GB2312" w:hAnsi="仿宋_GB2312" w:eastAsia="仿宋_GB2312" w:cs="仿宋_GB2312"/>
          <w:kern w:val="0"/>
          <w:sz w:val="32"/>
          <w:szCs w:val="32"/>
        </w:rPr>
        <w:t>、健全合同台账、资料归档的管理</w:t>
      </w:r>
      <w:r>
        <w:rPr>
          <w:rFonts w:hint="eastAsia" w:ascii="仿宋_GB2312" w:hAnsi="仿宋_GB2312" w:eastAsia="仿宋_GB2312" w:cs="仿宋_GB2312"/>
          <w:sz w:val="32"/>
          <w:szCs w:val="32"/>
        </w:rPr>
        <w:t>；</w:t>
      </w:r>
    </w:p>
    <w:p w14:paraId="54A156C5">
      <w:pPr>
        <w:keepNext w:val="0"/>
        <w:keepLines w:val="0"/>
        <w:pageBreakBefore w:val="0"/>
        <w:kinsoku/>
        <w:wordWrap/>
        <w:overflowPunct/>
        <w:topLinePunct w:val="0"/>
        <w:autoSpaceDE/>
        <w:autoSpaceDN/>
        <w:bidi w:val="0"/>
        <w:adjustRightInd w:val="0"/>
        <w:snapToGrid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（八）各申请单位为合同主办单位，负责合同谈判、审核、履行，办理合同变更、解除等事项；</w:t>
      </w:r>
    </w:p>
    <w:p w14:paraId="4C8AB29C">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（九）合规办负责拟定合同管理制度，对公司合同涉及商务条款的进行审查，提出风险防控建议；审核符合企业目的及合规性要求违约责任、纠纷处理方式的确定；</w:t>
      </w:r>
    </w:p>
    <w:p w14:paraId="7FF2EBD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（十）合规负责人统一协调处理决策、指导所属单位加强合同管理。</w:t>
      </w:r>
    </w:p>
    <w:p w14:paraId="254EFA97">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xml:space="preserve">第九条 </w:t>
      </w:r>
      <w:r>
        <w:rPr>
          <w:rFonts w:hint="eastAsia" w:ascii="仿宋_GB2312" w:hAnsi="仿宋_GB2312" w:eastAsia="仿宋_GB2312" w:cs="仿宋_GB2312"/>
          <w:b w:val="0"/>
          <w:bCs w:val="0"/>
          <w:sz w:val="32"/>
          <w:szCs w:val="32"/>
          <w:lang w:bidi="ar"/>
        </w:rPr>
        <w:t>各单位在合</w:t>
      </w:r>
      <w:r>
        <w:rPr>
          <w:rFonts w:hint="eastAsia" w:ascii="仿宋_GB2312" w:hAnsi="仿宋_GB2312" w:eastAsia="仿宋_GB2312" w:cs="仿宋_GB2312"/>
          <w:sz w:val="32"/>
          <w:szCs w:val="32"/>
          <w:lang w:bidi="ar"/>
        </w:rPr>
        <w:t xml:space="preserve">同订立前根据业务和职责确定承办部门（执行部门），由承办部门负责合同的前期准备、磋商谈判、合同文本起草、合同签订、合同履行及纠纷解决等事宜，职责包括： </w:t>
      </w:r>
    </w:p>
    <w:p w14:paraId="61F03803">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（一）研究合同必要性和可行性，提出可行性及风险防控方案； </w:t>
      </w:r>
    </w:p>
    <w:p w14:paraId="57A1BE07">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（二）组织开展合同相对方背景调查，运用国家企业信用信息公示系统、信用中国、中国政府采购网等信息平台对合同相对方的主体资格、资信情况、授权委托、履约能力、诉讼及执行风险等情况进行调查； </w:t>
      </w:r>
    </w:p>
    <w:p w14:paraId="730404CE">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（三）组织开展合同磋商、洽谈，起草、初审、修改合同文本； </w:t>
      </w:r>
    </w:p>
    <w:p w14:paraId="7C39531C">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（四）负责合同文本送审、报批，落实合法合规性意见； </w:t>
      </w:r>
    </w:p>
    <w:p w14:paraId="3E36582D">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（五）负责协调、跟踪合同履行，评估合同风险，采取风险防控措施，对合同履行中发生的纠纷和发现的问题进行调查、处理、报告，提出综合应对方案； </w:t>
      </w:r>
    </w:p>
    <w:p w14:paraId="45E18BB1">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（六）负责合同资料的整理、移送归档、清理等工作； </w:t>
      </w:r>
    </w:p>
    <w:p w14:paraId="78B8DADE">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（七）协助合同纠纷的协商、调解、仲裁、诉讼和申请强制 执行； </w:t>
      </w:r>
    </w:p>
    <w:p w14:paraId="66B1611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（八）其他合同管理工作。 </w:t>
      </w:r>
    </w:p>
    <w:p w14:paraId="3DE7C07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xml:space="preserve">第十条 </w:t>
      </w:r>
      <w:r>
        <w:rPr>
          <w:rFonts w:hint="eastAsia" w:ascii="仿宋_GB2312" w:hAnsi="仿宋_GB2312" w:eastAsia="仿宋_GB2312" w:cs="仿宋_GB2312"/>
          <w:b w:val="0"/>
          <w:bCs w:val="0"/>
          <w:sz w:val="32"/>
          <w:szCs w:val="32"/>
          <w:lang w:bidi="ar"/>
        </w:rPr>
        <w:t>各单位合同执行部门（承办部门）是根据其职责处理具体合同事项的部门，职责包</w:t>
      </w:r>
      <w:r>
        <w:rPr>
          <w:rFonts w:hint="eastAsia" w:ascii="仿宋_GB2312" w:hAnsi="仿宋_GB2312" w:eastAsia="仿宋_GB2312" w:cs="仿宋_GB2312"/>
          <w:sz w:val="32"/>
          <w:szCs w:val="32"/>
          <w:lang w:bidi="ar"/>
        </w:rPr>
        <w:t xml:space="preserve">括： </w:t>
      </w:r>
    </w:p>
    <w:p w14:paraId="7ECEBB9D">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（一）正确执行合同，评估合同风险，采取风险防控措施； </w:t>
      </w:r>
    </w:p>
    <w:p w14:paraId="5C006CF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（二）办理在执行合同过程中需出具的材料； </w:t>
      </w:r>
    </w:p>
    <w:p w14:paraId="176063F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 xml:space="preserve">（三）报告合同履行中发生的纠纷和发现的问题； </w:t>
      </w:r>
    </w:p>
    <w:p w14:paraId="67E7013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（四）其他与执行合同有关的工作。</w:t>
      </w:r>
    </w:p>
    <w:p w14:paraId="2425C38B">
      <w:pPr>
        <w:keepNext w:val="0"/>
        <w:keepLines w:val="0"/>
        <w:pageBreakBefore w:val="0"/>
        <w:kinsoku/>
        <w:wordWrap/>
        <w:overflowPunct/>
        <w:topLinePunct w:val="0"/>
        <w:autoSpaceDE/>
        <w:autoSpaceDN/>
        <w:bidi w:val="0"/>
        <w:spacing w:line="520" w:lineRule="exact"/>
        <w:textAlignment w:val="auto"/>
        <w:rPr>
          <w:rFonts w:hint="eastAsia" w:ascii="仿宋_GB2312" w:hAnsi="仿宋_GB2312" w:eastAsia="仿宋_GB2312" w:cs="仿宋_GB2312"/>
          <w:sz w:val="32"/>
          <w:szCs w:val="32"/>
        </w:rPr>
      </w:pPr>
    </w:p>
    <w:p w14:paraId="57CB5FF2">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授权管理</w:t>
      </w:r>
    </w:p>
    <w:p w14:paraId="302CA673">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第十一条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法定代表人代表企业订立合同、处理合同事务，对合同事务有最终决定权。法定代表人可以授权他人订立合同，处理合同事务。</w:t>
      </w:r>
    </w:p>
    <w:p w14:paraId="3BFA53F5">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第十二条 下列人员有权代表企业订立合同：</w:t>
      </w:r>
    </w:p>
    <w:p w14:paraId="0D73B11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（一）法定代表人；</w:t>
      </w:r>
    </w:p>
    <w:p w14:paraId="2A5DF6C8">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（二）经法定代表人书面授权的受托人。</w:t>
      </w:r>
    </w:p>
    <w:p w14:paraId="71D1234E">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第十三条 受托人的权限由《授权委托书》注明。受托人应在授权范围内勤勉、审慎履行职责，因此产生的结果由企业承担。未经授权人同意，受托人不得转委托。</w:t>
      </w:r>
    </w:p>
    <w:p w14:paraId="7F446091">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第十四条 重大合同按合同业务内容原则仅授权与相应分管副总经理签订；一般合同按合同业务内容和涉及金额可授权合同承办部门部长或副部长签订合同；融资保险合同、捐赠合同和劳动用工合同由法人代表签订。</w:t>
      </w:r>
    </w:p>
    <w:p w14:paraId="7D3996F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第十五条 重大</w:t>
      </w:r>
      <w:r>
        <w:rPr>
          <w:rFonts w:hint="eastAsia" w:ascii="仿宋_GB2312" w:hAnsi="仿宋_GB2312" w:eastAsia="仿宋_GB2312" w:cs="仿宋_GB2312"/>
          <w:sz w:val="32"/>
          <w:szCs w:val="32"/>
        </w:rPr>
        <w:t>合同在签订前由受托人组织合同</w:t>
      </w:r>
      <w:r>
        <w:rPr>
          <w:rFonts w:hint="eastAsia" w:ascii="仿宋_GB2312" w:hAnsi="仿宋_GB2312" w:eastAsia="仿宋_GB2312" w:cs="仿宋_GB2312"/>
          <w:sz w:val="32"/>
          <w:szCs w:val="32"/>
          <w:lang w:eastAsia="zh-CN"/>
        </w:rPr>
        <w:t>涉及</w:t>
      </w:r>
      <w:r>
        <w:rPr>
          <w:rFonts w:hint="eastAsia" w:ascii="仿宋_GB2312" w:hAnsi="仿宋_GB2312" w:eastAsia="仿宋_GB2312" w:cs="仿宋_GB2312"/>
          <w:sz w:val="32"/>
          <w:szCs w:val="32"/>
        </w:rPr>
        <w:t>各相关专业部门实行集中会审，做好审查记录；一般合同由受托人自行决定采用集中会审或审查会签方式进行审查。各专业部门要对合同</w:t>
      </w:r>
      <w:r>
        <w:rPr>
          <w:rFonts w:hint="eastAsia" w:ascii="仿宋_GB2312" w:hAnsi="仿宋_GB2312" w:eastAsia="仿宋_GB2312" w:cs="仿宋_GB2312"/>
          <w:sz w:val="32"/>
          <w:szCs w:val="32"/>
          <w:lang w:eastAsia="zh-CN"/>
        </w:rPr>
        <w:t>涉及</w:t>
      </w:r>
      <w:r>
        <w:rPr>
          <w:rFonts w:hint="eastAsia" w:ascii="仿宋_GB2312" w:hAnsi="仿宋_GB2312" w:eastAsia="仿宋_GB2312" w:cs="仿宋_GB2312"/>
          <w:sz w:val="32"/>
          <w:szCs w:val="32"/>
        </w:rPr>
        <w:t>本专业的合同条款进行审核、修订及确认，对合同其他内容条款也可提出审查意见。</w:t>
      </w:r>
    </w:p>
    <w:p w14:paraId="25620236">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第十六条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法定代表人授权他人订立合同的，用印前应当审查《授权委托书》。</w:t>
      </w:r>
    </w:p>
    <w:p w14:paraId="3BFBA22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第十七条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禁止未经授权的任何部门、个人以企业的名义对外订立合同。禁止</w:t>
      </w:r>
      <w:r>
        <w:rPr>
          <w:rFonts w:hint="eastAsia" w:ascii="仿宋_GB2312" w:hAnsi="仿宋_GB2312" w:eastAsia="仿宋_GB2312" w:cs="仿宋_GB2312"/>
          <w:sz w:val="32"/>
          <w:szCs w:val="32"/>
        </w:rPr>
        <w:t>企业任何部门以部门的名义订立合同。</w:t>
      </w:r>
    </w:p>
    <w:p w14:paraId="3F890936">
      <w:pPr>
        <w:keepNext w:val="0"/>
        <w:keepLines w:val="0"/>
        <w:pageBreakBefore w:val="0"/>
        <w:kinsoku/>
        <w:wordWrap/>
        <w:overflowPunct/>
        <w:topLinePunct w:val="0"/>
        <w:autoSpaceDE/>
        <w:autoSpaceDN/>
        <w:bidi w:val="0"/>
        <w:spacing w:line="520" w:lineRule="exact"/>
        <w:jc w:val="center"/>
        <w:textAlignment w:val="auto"/>
        <w:rPr>
          <w:rFonts w:hint="eastAsia" w:ascii="仿宋_GB2312" w:hAnsi="仿宋_GB2312" w:eastAsia="仿宋_GB2312" w:cs="仿宋_GB2312"/>
          <w:sz w:val="32"/>
          <w:szCs w:val="32"/>
        </w:rPr>
      </w:pPr>
    </w:p>
    <w:p w14:paraId="0733424C">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尽职调查、起草、初审</w:t>
      </w:r>
    </w:p>
    <w:p w14:paraId="548323BE">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第十八条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合同承办部门负责组织开展与合同有关的尽职调查，尽职调查的基本要求：熟悉与业务相关的法律法规政策，了解行业现状、业务背景；核实对方资质、资格；核查对方及投资人、控制人是否与企业党员领导干部存在特定关系，核查确定对方及交易条件的方式是否合规；评估对方信用、能力；核实有关资料的真实性、合法性；核实标的物权属、范围、数量、质量、负担；评估风险，必要时提出风险防控建议；重大合同（向金融类机构融资借款的合同除外）应当撰写尽职调查报告并在报告上签名；其他需要开展的工作。</w:t>
      </w:r>
    </w:p>
    <w:p w14:paraId="45FF0A76">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第十九条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合同承办部门起草合同一</w:t>
      </w:r>
      <w:r>
        <w:rPr>
          <w:rFonts w:hint="eastAsia" w:ascii="仿宋_GB2312" w:hAnsi="仿宋_GB2312" w:eastAsia="仿宋_GB2312" w:cs="仿宋_GB2312"/>
          <w:b w:val="0"/>
          <w:bCs w:val="0"/>
          <w:color w:val="000000"/>
          <w:kern w:val="0"/>
          <w:sz w:val="32"/>
          <w:szCs w:val="32"/>
          <w:lang w:bidi="ar"/>
        </w:rPr>
        <w:t>般应包括以下条款：</w:t>
      </w:r>
      <w:r>
        <w:rPr>
          <w:rFonts w:hint="eastAsia" w:ascii="仿宋_GB2312" w:hAnsi="仿宋_GB2312" w:eastAsia="仿宋_GB2312" w:cs="仿宋_GB2312"/>
          <w:b w:val="0"/>
          <w:bCs w:val="0"/>
          <w:sz w:val="32"/>
          <w:szCs w:val="32"/>
        </w:rPr>
        <w:t>合同主体名称、住所地等基本信息；标的、数量、质量、价款或者报酬、税率；合同主体的权利和义务履行期限、地点和方式；违约责任及赔偿损失的计算方法；合同变更、解除、终止条件；解决争议的方法；生效条件、订立日期等。</w:t>
      </w:r>
    </w:p>
    <w:p w14:paraId="644133EC">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不同类型合同应结合具体特点和要求，就核心要素、关键条款作出详尽规定。</w:t>
      </w:r>
    </w:p>
    <w:p w14:paraId="3471C385">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第二十条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合同</w:t>
      </w:r>
      <w:r>
        <w:rPr>
          <w:rFonts w:hint="eastAsia" w:ascii="仿宋_GB2312" w:hAnsi="仿宋_GB2312" w:eastAsia="仿宋_GB2312" w:cs="仿宋_GB2312"/>
          <w:sz w:val="32"/>
          <w:szCs w:val="32"/>
        </w:rPr>
        <w:t>承办部门对重大合同或法律关系复杂的合同应当组织相关部门会审后形成合同文本，重点审查技术的可行性、经济的合理性、风控措施的有效性等方面。</w:t>
      </w:r>
    </w:p>
    <w:p w14:paraId="0B66968B">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（一）技术可行性审查由申请部门、技术主管部门等负责，主要审查以下内容： 1.合同项目是否符合</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 xml:space="preserve">、规章及有关政府部门的批准文件； 2.合同技术条款是否符合国家标准、行业标准、企业标准及规程、规范； 3.合同价款的确定是否符合企业有关规定；  4.合同条款是否具有可履行性； 5.技术主管部门认为应当审查的其他内容。 </w:t>
      </w:r>
    </w:p>
    <w:p w14:paraId="79AA0213">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（二）经济合理性审查由申请部门、投资、财务、经管、销售采购等部门负责，主要审查以下内容：1.合同条款是否符合国家财经法规和企业财务管理规定； 2.合同约定事项是否符合经济效益原则，合同经济条款是否合理； 3.合同项目是否履行企业相关决策程序及财务预算，应当招标的是否按规定完成招投标程序； 4.合同支付条款是否合理、可行； 5.是否存在涉税风险或税务筹划空间； 6.有关主管部门认为应当审查的其他内容。 </w:t>
      </w:r>
    </w:p>
    <w:p w14:paraId="0A1E79DC">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（三）风控措施有效性审查由申请部门、技术、投资、财务、经管、法务、合规等部门负责，主要审查以下内容：对方主体资格、资质、信用状况、履约能力； 2.对方提供资料、标的物的真实性、合法性保障； 3.合同所涉技术、货物、服务的知识产权是否侵权； 4.合同项目风险分担条款是否公平合理； 5.合同项目验收、检验条款是否具有操作性； 6.合同权益受侵害是否有针对性条款等予以法律保护； 7.有关主管部门认为应当审查的其他内容。</w:t>
      </w:r>
    </w:p>
    <w:p w14:paraId="4E359036">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第二十一条 各单位合规人员开展合同合法合规性审查的内容主要包括：1. 合同</w:t>
      </w:r>
      <w:r>
        <w:rPr>
          <w:rFonts w:hint="eastAsia" w:ascii="仿宋_GB2312" w:hAnsi="仿宋_GB2312" w:eastAsia="仿宋_GB2312" w:cs="仿宋_GB2312"/>
          <w:sz w:val="32"/>
          <w:szCs w:val="32"/>
        </w:rPr>
        <w:t>主体是否适格；2.合同条款是否完整、形式是否合法； 3.合同内容是否存在无效、被撤销或其他法律风险； 4.合同权利和义务、违约责任和争议解决条款是否明确、妥当； 5.合同订立程序是否符合</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、规章、规范性文件等规定； 6.合同是否减损合法权益，如违法损害国家、集体、第三人的合法权益； 7.按规定需要报经备案、登记或批准的，是否已经备案、登记或批准； 8.根据拟订立合同实际应当审查的其他内容。</w:t>
      </w:r>
    </w:p>
    <w:p w14:paraId="77EA56A8">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第二十二条 公司</w:t>
      </w:r>
      <w:r>
        <w:rPr>
          <w:rFonts w:hint="eastAsia" w:ascii="仿宋_GB2312" w:hAnsi="仿宋_GB2312" w:eastAsia="仿宋_GB2312" w:cs="仿宋_GB2312"/>
          <w:b w:val="0"/>
          <w:bCs w:val="0"/>
          <w:sz w:val="32"/>
          <w:szCs w:val="32"/>
          <w:lang w:bidi="ar"/>
        </w:rPr>
        <w:t>合规部门审查合同应当核查送审资料，对合法合规性给予明确意见，针对合同风险提出防控建议。合同承办部门应当根据合法合规性审查意见，进一步与合同对方沟通协商，对合同文本</w:t>
      </w:r>
      <w:r>
        <w:rPr>
          <w:rFonts w:hint="eastAsia" w:ascii="仿宋_GB2312" w:hAnsi="仿宋_GB2312" w:eastAsia="仿宋_GB2312" w:cs="仿宋_GB2312"/>
          <w:b w:val="0"/>
          <w:bCs w:val="0"/>
          <w:sz w:val="32"/>
          <w:szCs w:val="32"/>
          <w:lang w:eastAsia="zh-CN" w:bidi="ar"/>
        </w:rPr>
        <w:t>做</w:t>
      </w:r>
      <w:r>
        <w:rPr>
          <w:rFonts w:hint="eastAsia" w:ascii="仿宋_GB2312" w:hAnsi="仿宋_GB2312" w:eastAsia="仿宋_GB2312" w:cs="仿宋_GB2312"/>
          <w:b w:val="0"/>
          <w:bCs w:val="0"/>
          <w:sz w:val="32"/>
          <w:szCs w:val="32"/>
          <w:lang w:bidi="ar"/>
        </w:rPr>
        <w:t>针对性修改完善。合同承办部门对合法合规性审查意见有异议的，应及时沟通，必要时报公司合规负责人协调处理。</w:t>
      </w:r>
    </w:p>
    <w:p w14:paraId="740B7293">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第二十三条 已</w:t>
      </w:r>
      <w:r>
        <w:rPr>
          <w:rFonts w:hint="eastAsia" w:ascii="仿宋_GB2312" w:hAnsi="仿宋_GB2312" w:eastAsia="仿宋_GB2312" w:cs="仿宋_GB2312"/>
          <w:sz w:val="32"/>
          <w:szCs w:val="32"/>
        </w:rPr>
        <w:t>审查重大合同仍存在疑问的，可以提请集团公司法务部协助审查，同时附送合同有关资料及前期审查意见。</w:t>
      </w:r>
    </w:p>
    <w:p w14:paraId="763761DE">
      <w:pPr>
        <w:keepNext w:val="0"/>
        <w:keepLines w:val="0"/>
        <w:pageBreakBefore w:val="0"/>
        <w:kinsoku/>
        <w:wordWrap/>
        <w:overflowPunct/>
        <w:topLinePunct w:val="0"/>
        <w:autoSpaceDE/>
        <w:autoSpaceDN/>
        <w:bidi w:val="0"/>
        <w:spacing w:line="520" w:lineRule="exact"/>
        <w:jc w:val="center"/>
        <w:textAlignment w:val="auto"/>
        <w:rPr>
          <w:rFonts w:hint="eastAsia" w:ascii="仿宋_GB2312" w:hAnsi="仿宋_GB2312" w:eastAsia="仿宋_GB2312" w:cs="仿宋_GB2312"/>
          <w:sz w:val="32"/>
          <w:szCs w:val="32"/>
        </w:rPr>
      </w:pPr>
    </w:p>
    <w:p w14:paraId="45B27437">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合同签订、履行、变更及解除</w:t>
      </w:r>
    </w:p>
    <w:p w14:paraId="6A21317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第二十四条 </w:t>
      </w:r>
      <w:r>
        <w:rPr>
          <w:rFonts w:hint="eastAsia" w:ascii="仿宋_GB2312" w:hAnsi="仿宋_GB2312" w:eastAsia="仿宋_GB2312" w:cs="仿宋_GB2312"/>
          <w:b w:val="0"/>
          <w:bCs w:val="0"/>
          <w:sz w:val="32"/>
          <w:szCs w:val="32"/>
          <w:lang w:eastAsia="zh-CN"/>
        </w:rPr>
        <w:t>实行</w:t>
      </w:r>
      <w:r>
        <w:rPr>
          <w:rFonts w:hint="eastAsia" w:ascii="仿宋_GB2312" w:hAnsi="仿宋_GB2312" w:eastAsia="仿宋_GB2312" w:cs="仿宋_GB2312"/>
          <w:b w:val="0"/>
          <w:bCs w:val="0"/>
          <w:sz w:val="32"/>
          <w:szCs w:val="32"/>
        </w:rPr>
        <w:t>合同会审制，由承办单位负责联络组建，会审侧重合同履行的适当性和可行性，合同履行的合法性和合规性。由分管领导或分管副总带领各成员单位按照各自职责审核合同相关内容。</w:t>
      </w:r>
    </w:p>
    <w:p w14:paraId="16740AD0">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合同内容主要包括但不限于：合同主体资格资质、合同标的、数量、质量（技术要求）、税率、合同价款及支付方式、履行期限、地点和方式、验收标准、双方权利义务、违约责任、争议解决方式等内容。</w:t>
      </w:r>
    </w:p>
    <w:p w14:paraId="7CCF79D7">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第二十五条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送签合同时应当向法定代表人或法定代表人授权决定合同事务的人报告合同目的、尽职调查、权利义务、审查意见及落实情况。</w:t>
      </w:r>
    </w:p>
    <w:p w14:paraId="3E823AB8">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第二十六条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订立</w:t>
      </w:r>
      <w:r>
        <w:rPr>
          <w:rFonts w:hint="eastAsia" w:ascii="仿宋_GB2312" w:hAnsi="仿宋_GB2312" w:eastAsia="仿宋_GB2312" w:cs="仿宋_GB2312"/>
          <w:sz w:val="32"/>
          <w:szCs w:val="32"/>
        </w:rPr>
        <w:t>合同应当经法定代表人授权，同时加盖企业合同专用章；加盖印章应当符合约定，多页合同应当同时加盖骑缝章。</w:t>
      </w:r>
    </w:p>
    <w:p w14:paraId="25138A60">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第二十七条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未经审查的合同不得订立。禁止倒签合同。未订立书面合同，但因应急、抢险等实际发生合同成立、履行事实，确需完善合同形式及约定有关内容的，应当报法定代表人决定。</w:t>
      </w:r>
    </w:p>
    <w:p w14:paraId="79B03D11">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第二十八条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当合同主体、内容、履行方式发生变更时，由合同执行单位按合同签订流程办理变更手续，以防范风险。</w:t>
      </w:r>
    </w:p>
    <w:p w14:paraId="7923BE37">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第二十九条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合同执行部门（承办部门）在合同履行情况下应遵循以下原则：</w:t>
      </w:r>
    </w:p>
    <w:p w14:paraId="6B454CB9">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（一）严格审查</w:t>
      </w:r>
      <w:r>
        <w:rPr>
          <w:rFonts w:hint="eastAsia" w:ascii="仿宋_GB2312" w:hAnsi="仿宋_GB2312" w:eastAsia="仿宋_GB2312" w:cs="仿宋_GB2312"/>
          <w:sz w:val="32"/>
          <w:szCs w:val="32"/>
        </w:rPr>
        <w:t xml:space="preserve">合同约定的履行实质条件是否具备，所需要的凭证是否齐全和真实有效； </w:t>
      </w:r>
    </w:p>
    <w:p w14:paraId="5C9D4214">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（二）严格查验合同对方办理人员是否有权代表合同对方，是否持有有效授权文件； </w:t>
      </w:r>
    </w:p>
    <w:p w14:paraId="17FCD043">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（三）严格查验合同对方人员是否与合同、投标文件中明确的项目负责人等关键人员一致，是否存在违法分包、转包的情况； </w:t>
      </w:r>
    </w:p>
    <w:p w14:paraId="58CE4965">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（四）没有先后履行顺序的合同，双方应当同步履行。在对方履行之前或对方履行不符合约定时，应拒绝其相应的履行要求； </w:t>
      </w:r>
    </w:p>
    <w:p w14:paraId="7CE28439">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（五）有先后履行顺序的合同，合同对方应当先履行而不履行或履行合同不符合约定的，应当暂停履行合同； </w:t>
      </w:r>
    </w:p>
    <w:p w14:paraId="18F78B6D">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（六）严格按照授权权限处理合同事务。</w:t>
      </w:r>
    </w:p>
    <w:p w14:paraId="6BAC8CDE">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第三十条 合同履行过程中，出现下列情形之一的，合同执行部门应当提出对策</w:t>
      </w:r>
      <w:r>
        <w:rPr>
          <w:rFonts w:hint="eastAsia" w:ascii="仿宋_GB2312" w:hAnsi="仿宋_GB2312" w:eastAsia="仿宋_GB2312" w:cs="仿宋_GB2312"/>
          <w:sz w:val="32"/>
          <w:szCs w:val="32"/>
        </w:rPr>
        <w:t xml:space="preserve">或建议，在法务合规部门的指导下，及时采取应对措施，最大程度避免或减少损失： </w:t>
      </w:r>
    </w:p>
    <w:p w14:paraId="55A50A4C">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（一）出现不可抗力、情势变更等情形，可能影响合同正常履行的； </w:t>
      </w:r>
    </w:p>
    <w:p w14:paraId="3788E3F2">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（二）己方因客观原因无法履行合同义务的； </w:t>
      </w:r>
    </w:p>
    <w:p w14:paraId="199D88B1">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（三）合同依据的</w:t>
      </w:r>
      <w:r>
        <w:rPr>
          <w:rFonts w:hint="eastAsia" w:ascii="仿宋_GB2312" w:hAnsi="仿宋_GB2312" w:eastAsia="仿宋_GB2312" w:cs="仿宋_GB2312"/>
          <w:sz w:val="32"/>
          <w:szCs w:val="32"/>
          <w:lang w:eastAsia="zh-CN"/>
        </w:rPr>
        <w:t>法律法规</w:t>
      </w:r>
      <w:r>
        <w:rPr>
          <w:rFonts w:hint="eastAsia" w:ascii="仿宋_GB2312" w:hAnsi="仿宋_GB2312" w:eastAsia="仿宋_GB2312" w:cs="仿宋_GB2312"/>
          <w:sz w:val="32"/>
          <w:szCs w:val="32"/>
        </w:rPr>
        <w:t xml:space="preserve">、规章、政策修改或者废止， 可能影响合同正常履行的； </w:t>
      </w:r>
    </w:p>
    <w:p w14:paraId="4B91B69B">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（四）对方财产状况恶化、转移财产、丧失商业信誉、被纳入失信被执行人名单、被处以重大行政处罚、丧失或者可能丧失履行能力的；</w:t>
      </w:r>
    </w:p>
    <w:p w14:paraId="30173D03">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（五）对方存在已实际违约或预期违约情形的； </w:t>
      </w:r>
    </w:p>
    <w:p w14:paraId="068C7ABA">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（六）其他可能影响合同履行的情形。 </w:t>
      </w:r>
    </w:p>
    <w:p w14:paraId="564CF4DB">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b w:val="0"/>
          <w:bCs w:val="0"/>
          <w:sz w:val="32"/>
          <w:szCs w:val="32"/>
          <w:lang w:bidi="ar"/>
        </w:rPr>
      </w:pPr>
      <w:r>
        <w:rPr>
          <w:rFonts w:hint="eastAsia" w:ascii="仿宋_GB2312" w:hAnsi="仿宋_GB2312" w:eastAsia="仿宋_GB2312" w:cs="仿宋_GB2312"/>
          <w:b w:val="0"/>
          <w:bCs w:val="0"/>
          <w:sz w:val="32"/>
          <w:szCs w:val="32"/>
        </w:rPr>
        <w:t>第三十一条</w:t>
      </w:r>
      <w:r>
        <w:rPr>
          <w:rFonts w:hint="eastAsia" w:ascii="仿宋_GB2312" w:hAnsi="仿宋_GB2312" w:eastAsia="仿宋_GB2312" w:cs="仿宋_GB2312"/>
          <w:b w:val="0"/>
          <w:bCs w:val="0"/>
          <w:sz w:val="32"/>
          <w:szCs w:val="32"/>
          <w:lang w:bidi="ar"/>
        </w:rPr>
        <w:t xml:space="preserve"> 合同发生纠纷，合同执行部门应自纠纷发生之日起三日内向分管领导报告，通报法务合规部门，并及时查明事实</w:t>
      </w:r>
      <w:r>
        <w:rPr>
          <w:rFonts w:hint="eastAsia" w:ascii="仿宋_GB2312" w:hAnsi="仿宋_GB2312" w:eastAsia="仿宋_GB2312" w:cs="仿宋_GB2312"/>
          <w:b w:val="0"/>
          <w:bCs w:val="0"/>
          <w:sz w:val="32"/>
          <w:szCs w:val="32"/>
          <w:lang w:eastAsia="zh-CN" w:bidi="ar"/>
        </w:rPr>
        <w:t>，并</w:t>
      </w:r>
      <w:r>
        <w:rPr>
          <w:rFonts w:hint="eastAsia" w:ascii="仿宋_GB2312" w:hAnsi="仿宋_GB2312" w:eastAsia="仿宋_GB2312" w:cs="仿宋_GB2312"/>
          <w:b w:val="0"/>
          <w:bCs w:val="0"/>
          <w:sz w:val="32"/>
          <w:szCs w:val="32"/>
          <w:lang w:bidi="ar"/>
        </w:rPr>
        <w:t xml:space="preserve">收集相关资料，包括合同纠纷的起因、合同的履行情况、违约情 形、损害后果、违约行为与损害结果之间的因果关系及免责事由等，组织相关部门评估合同纠纷可能产生的不利后果，研究制定综合应对方案，提出化解方法，维护权益、减少损失。 </w:t>
      </w:r>
    </w:p>
    <w:p w14:paraId="615A53BE">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b w:val="0"/>
          <w:bCs w:val="0"/>
          <w:sz w:val="32"/>
          <w:szCs w:val="32"/>
        </w:rPr>
        <w:t>第三十二条</w:t>
      </w:r>
      <w:r>
        <w:rPr>
          <w:rFonts w:hint="eastAsia" w:ascii="仿宋_GB2312" w:hAnsi="仿宋_GB2312" w:eastAsia="仿宋_GB2312" w:cs="仿宋_GB2312"/>
          <w:b w:val="0"/>
          <w:bCs w:val="0"/>
          <w:sz w:val="32"/>
          <w:szCs w:val="32"/>
          <w:lang w:bidi="ar"/>
        </w:rPr>
        <w:t xml:space="preserve"> 解决合</w:t>
      </w:r>
      <w:r>
        <w:rPr>
          <w:rFonts w:hint="eastAsia" w:ascii="仿宋_GB2312" w:hAnsi="仿宋_GB2312" w:eastAsia="仿宋_GB2312" w:cs="仿宋_GB2312"/>
          <w:sz w:val="32"/>
          <w:szCs w:val="32"/>
          <w:lang w:bidi="ar"/>
        </w:rPr>
        <w:t>同纠纷，应成立由合同执行部门的分管领导牵头，法务合规负责人配合，合同承办部门、法务合规部门等参加的风险处置工作小组，主动与合同对方协商、沟通，能够通过和解、调解等方式解决的，及时订立书面协议；经充分沟通协商，仍无法达成一致意见的，应当在法定期限内，采取向具有管辖权的人民法院起诉，或者根据合同的约定向仲裁机构申请仲裁等方式维护合同权益。</w:t>
      </w:r>
    </w:p>
    <w:p w14:paraId="62A39300">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p>
    <w:p w14:paraId="614B8639">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合同登记、备案、归档管理</w:t>
      </w:r>
    </w:p>
    <w:p w14:paraId="29692F9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b w:val="0"/>
          <w:bCs w:val="0"/>
          <w:sz w:val="32"/>
          <w:szCs w:val="32"/>
          <w:lang w:bidi="ar"/>
        </w:rPr>
      </w:pPr>
      <w:r>
        <w:rPr>
          <w:rFonts w:hint="eastAsia" w:ascii="仿宋_GB2312" w:hAnsi="仿宋_GB2312" w:eastAsia="仿宋_GB2312" w:cs="仿宋_GB2312"/>
          <w:b w:val="0"/>
          <w:bCs w:val="0"/>
          <w:sz w:val="32"/>
          <w:szCs w:val="32"/>
          <w:lang w:bidi="ar"/>
        </w:rPr>
        <w:t>第三十三条</w:t>
      </w:r>
      <w:r>
        <w:rPr>
          <w:rFonts w:hint="eastAsia" w:ascii="仿宋_GB2312" w:hAnsi="仿宋_GB2312" w:eastAsia="仿宋_GB2312" w:cs="仿宋_GB2312"/>
          <w:b w:val="0"/>
          <w:bCs w:val="0"/>
          <w:sz w:val="32"/>
          <w:szCs w:val="32"/>
          <w:lang w:val="en-US" w:eastAsia="zh-CN" w:bidi="ar"/>
        </w:rPr>
        <w:t xml:space="preserve"> </w:t>
      </w:r>
      <w:r>
        <w:rPr>
          <w:rFonts w:hint="eastAsia" w:ascii="仿宋_GB2312" w:hAnsi="仿宋_GB2312" w:eastAsia="仿宋_GB2312" w:cs="仿宋_GB2312"/>
          <w:b w:val="0"/>
          <w:bCs w:val="0"/>
          <w:sz w:val="32"/>
          <w:szCs w:val="32"/>
          <w:lang w:bidi="ar"/>
        </w:rPr>
        <w:t>合同订立后，合同管理主管部门应当向档案室送存以下合同资料（劳动合同除外）</w:t>
      </w:r>
      <w:r>
        <w:rPr>
          <w:rFonts w:hint="eastAsia" w:ascii="仿宋_GB2312" w:hAnsi="仿宋_GB2312" w:eastAsia="仿宋_GB2312" w:cs="仿宋_GB2312"/>
          <w:b w:val="0"/>
          <w:bCs w:val="0"/>
          <w:sz w:val="32"/>
          <w:szCs w:val="32"/>
          <w:lang w:eastAsia="zh-CN" w:bidi="ar"/>
        </w:rPr>
        <w:t>：</w:t>
      </w:r>
    </w:p>
    <w:p w14:paraId="4354A45A">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b w:val="0"/>
          <w:bCs w:val="0"/>
          <w:sz w:val="32"/>
          <w:szCs w:val="32"/>
          <w:lang w:bidi="ar"/>
        </w:rPr>
        <w:t>（一）合同项目</w:t>
      </w:r>
      <w:r>
        <w:rPr>
          <w:rFonts w:hint="eastAsia" w:ascii="仿宋_GB2312" w:hAnsi="仿宋_GB2312" w:eastAsia="仿宋_GB2312" w:cs="仿宋_GB2312"/>
          <w:sz w:val="32"/>
          <w:szCs w:val="32"/>
          <w:lang w:bidi="ar"/>
        </w:rPr>
        <w:t xml:space="preserve">批准文件、尽职调查报告、可行性研究报告、风险评估报告、项目建议书、意向书及上级批复文件； </w:t>
      </w:r>
    </w:p>
    <w:p w14:paraId="2131F660">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（二）招标投标文件，合同谈判备忘录、纪要和有关合同往来的信函、传真、图表、电子邮件、电话记录； </w:t>
      </w:r>
    </w:p>
    <w:p w14:paraId="14C58703">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（三）合同磋商记录、合同文本送审稿、合同原件； </w:t>
      </w:r>
    </w:p>
    <w:p w14:paraId="78D93229">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（四）专业部门会审意见、合法合规性审查意见； </w:t>
      </w:r>
    </w:p>
    <w:p w14:paraId="3F665850">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（五）合同变更、终止、解除所签订的协议； </w:t>
      </w:r>
    </w:p>
    <w:p w14:paraId="5456D3F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（六）风险处置情况说明； </w:t>
      </w:r>
    </w:p>
    <w:p w14:paraId="220FBCCC">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（七）其他与合同有关的资料。</w:t>
      </w:r>
    </w:p>
    <w:p w14:paraId="50CAABC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b w:val="0"/>
          <w:bCs w:val="0"/>
          <w:sz w:val="32"/>
          <w:szCs w:val="32"/>
          <w:lang w:bidi="ar"/>
        </w:rPr>
      </w:pPr>
      <w:r>
        <w:rPr>
          <w:rFonts w:hint="eastAsia" w:ascii="仿宋_GB2312" w:hAnsi="仿宋_GB2312" w:eastAsia="仿宋_GB2312" w:cs="仿宋_GB2312"/>
          <w:b w:val="0"/>
          <w:bCs w:val="0"/>
          <w:sz w:val="32"/>
          <w:szCs w:val="32"/>
          <w:lang w:bidi="ar"/>
        </w:rPr>
        <w:t>第三十四条 合同文档的查阅、复制、外借应履行审批手续。借阅人涂改、伪造、销毁、丢失的应承担行政或法律责任。</w:t>
      </w:r>
    </w:p>
    <w:p w14:paraId="0A2E0BE7">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b w:val="0"/>
          <w:bCs w:val="0"/>
          <w:sz w:val="32"/>
          <w:szCs w:val="32"/>
          <w:lang w:bidi="ar"/>
        </w:rPr>
        <w:t>第三十五条 将合</w:t>
      </w:r>
      <w:r>
        <w:rPr>
          <w:rFonts w:hint="eastAsia" w:ascii="仿宋_GB2312" w:hAnsi="仿宋_GB2312" w:eastAsia="仿宋_GB2312" w:cs="仿宋_GB2312"/>
          <w:sz w:val="32"/>
          <w:szCs w:val="32"/>
          <w:lang w:bidi="ar"/>
        </w:rPr>
        <w:t>同原件列为秘密级文件，任何人不得对外公开，特殊情况需经董事长/总经理签字审批方可对外公开。履行完毕后的合同长期保存于档案室。 </w:t>
      </w:r>
    </w:p>
    <w:p w14:paraId="238B5F62">
      <w:pPr>
        <w:keepNext w:val="0"/>
        <w:keepLines w:val="0"/>
        <w:pageBreakBefore w:val="0"/>
        <w:kinsoku/>
        <w:wordWrap/>
        <w:overflowPunct/>
        <w:topLinePunct w:val="0"/>
        <w:autoSpaceDE/>
        <w:autoSpaceDN/>
        <w:bidi w:val="0"/>
        <w:spacing w:line="520" w:lineRule="exact"/>
        <w:jc w:val="center"/>
        <w:textAlignment w:val="auto"/>
        <w:rPr>
          <w:rFonts w:hint="eastAsia" w:ascii="仿宋_GB2312" w:hAnsi="仿宋_GB2312" w:eastAsia="仿宋_GB2312" w:cs="仿宋_GB2312"/>
          <w:sz w:val="32"/>
          <w:szCs w:val="32"/>
        </w:rPr>
      </w:pPr>
    </w:p>
    <w:p w14:paraId="34D6EA80">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监督、考核</w:t>
      </w:r>
    </w:p>
    <w:p w14:paraId="33EEF74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b w:val="0"/>
          <w:bCs w:val="0"/>
          <w:sz w:val="32"/>
          <w:szCs w:val="32"/>
          <w:lang w:bidi="ar"/>
        </w:rPr>
        <w:t>第三十六条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在合同管理中，具有下列情形之一的，</w:t>
      </w:r>
      <w:r>
        <w:rPr>
          <w:rFonts w:hint="eastAsia" w:ascii="仿宋_GB2312" w:hAnsi="仿宋_GB2312" w:eastAsia="仿宋_GB2312" w:cs="仿宋_GB2312"/>
          <w:b w:val="0"/>
          <w:bCs w:val="0"/>
          <w:sz w:val="32"/>
          <w:szCs w:val="32"/>
          <w:lang w:bidi="ar"/>
        </w:rPr>
        <w:t>视情节及后果，给予责任人组织处</w:t>
      </w:r>
      <w:r>
        <w:rPr>
          <w:rFonts w:hint="eastAsia" w:ascii="仿宋_GB2312" w:hAnsi="仿宋_GB2312" w:eastAsia="仿宋_GB2312" w:cs="仿宋_GB2312"/>
          <w:sz w:val="32"/>
          <w:szCs w:val="32"/>
          <w:lang w:bidi="ar"/>
        </w:rPr>
        <w:t>理或党纪政务处分：</w:t>
      </w:r>
    </w:p>
    <w:p w14:paraId="71925E20">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（一）尽职调查疏忽大意或隐瞒重大不利事实，提供的资料、报告严重失实，导致合同出现重大风险或造成损失的；</w:t>
      </w:r>
    </w:p>
    <w:p w14:paraId="1731D5F5">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（二）未履行审查程序订立合同的；</w:t>
      </w:r>
    </w:p>
    <w:p w14:paraId="6DE9D3DE">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（三）未按合法合规性审查意见订立合同的；</w:t>
      </w:r>
    </w:p>
    <w:p w14:paraId="3E71F0DF">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（四）倒签合同的；</w:t>
      </w:r>
    </w:p>
    <w:p w14:paraId="3432735A">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（五）应发现而未发现合同违法违规问题，导致重大风险或造成损失的；</w:t>
      </w:r>
    </w:p>
    <w:p w14:paraId="0E802375">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（六）订立合同前隐瞒重大不利事实或重要资料，导致重大风险或造成损失的；</w:t>
      </w:r>
    </w:p>
    <w:p w14:paraId="64DCF839">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（七）丢失、损毁合同资料，因此出现重大风险或造成损失的；</w:t>
      </w:r>
    </w:p>
    <w:p w14:paraId="0C2B8FCE">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（八）在合同签订环节，擅自变更合同条款的；</w:t>
      </w:r>
    </w:p>
    <w:p w14:paraId="7E38974A">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（九）未经批准不执行合同，因此出现重大风险或造成损失的； </w:t>
      </w:r>
    </w:p>
    <w:p w14:paraId="5C1100B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（十）擅自放弃合同权益的；</w:t>
      </w:r>
    </w:p>
    <w:p w14:paraId="13548E99">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（十一）不及时主张合同债权，导致诉讼或仲裁时效经过的；</w:t>
      </w:r>
    </w:p>
    <w:p w14:paraId="2DEF4692">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（十二）未按规定报告、处理合同纠纷，造成新的损失发生或风险扩大的； </w:t>
      </w:r>
    </w:p>
    <w:p w14:paraId="4F73115A">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（十三）索要、收取对方或第三人财物的；</w:t>
      </w:r>
    </w:p>
    <w:p w14:paraId="0C6D7A06">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（十四）与对方或第三人恶意串通，损害企业合法权益的；</w:t>
      </w:r>
    </w:p>
    <w:p w14:paraId="5EEEE0DD">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（十五）失职被骗造成损失的；</w:t>
      </w:r>
    </w:p>
    <w:p w14:paraId="0D357054">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 xml:space="preserve">（十六）受委托人履行职责有过错，出现重大风险或造成损失的； </w:t>
      </w:r>
    </w:p>
    <w:p w14:paraId="56230B86">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（十七）受委托人超越授权权限处理合同事务的；</w:t>
      </w:r>
    </w:p>
    <w:p w14:paraId="197DF8B0">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（十八）其他违反本办法的行为。涉嫌违法犯罪的，移送司法机关处理。</w:t>
      </w:r>
    </w:p>
    <w:p w14:paraId="7823E361">
      <w:pPr>
        <w:keepNext w:val="0"/>
        <w:keepLines w:val="0"/>
        <w:pageBreakBefore w:val="0"/>
        <w:widowControl/>
        <w:kinsoku/>
        <w:wordWrap/>
        <w:overflowPunct/>
        <w:topLinePunct w:val="0"/>
        <w:autoSpaceDE/>
        <w:autoSpaceDN/>
        <w:bidi w:val="0"/>
        <w:adjustRightInd w:val="0"/>
        <w:snapToGrid w:val="0"/>
        <w:spacing w:line="520" w:lineRule="exact"/>
        <w:ind w:firstLine="640" w:firstLineChars="200"/>
        <w:jc w:val="left"/>
        <w:textAlignment w:val="auto"/>
        <w:rPr>
          <w:rFonts w:hint="eastAsia" w:ascii="仿宋_GB2312" w:hAnsi="仿宋_GB2312" w:eastAsia="仿宋_GB2312" w:cs="仿宋_GB2312"/>
          <w:sz w:val="32"/>
          <w:szCs w:val="32"/>
          <w:lang w:bidi="ar"/>
        </w:rPr>
      </w:pPr>
    </w:p>
    <w:p w14:paraId="10BA25B9">
      <w:pPr>
        <w:keepNext w:val="0"/>
        <w:keepLines w:val="0"/>
        <w:pageBreakBefore w:val="0"/>
        <w:kinsoku/>
        <w:wordWrap/>
        <w:overflowPunct/>
        <w:topLinePunct w:val="0"/>
        <w:autoSpaceDE/>
        <w:autoSpaceDN/>
        <w:bidi w:val="0"/>
        <w:spacing w:line="52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附则</w:t>
      </w:r>
    </w:p>
    <w:p w14:paraId="5045DD02">
      <w:pPr>
        <w:pStyle w:val="4"/>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第三十七条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本办法规定副总经理、总工程师签订的，如副总经理、总工程师调离或未任命前，由分管副总师签订。</w:t>
      </w:r>
    </w:p>
    <w:p w14:paraId="233C7569">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第三十八条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本办法适用公司各类业务合同，未尽事宜，参照集团公司合同管理办法执行。</w:t>
      </w:r>
    </w:p>
    <w:p w14:paraId="61711542">
      <w:pPr>
        <w:keepNext w:val="0"/>
        <w:keepLines w:val="0"/>
        <w:pageBreakBefore w:val="0"/>
        <w:kinsoku/>
        <w:wordWrap/>
        <w:overflowPunct/>
        <w:topLinePunct w:val="0"/>
        <w:autoSpaceDE/>
        <w:autoSpaceDN/>
        <w:bidi w:val="0"/>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第三十九条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本</w:t>
      </w:r>
      <w:r>
        <w:rPr>
          <w:rFonts w:hint="eastAsia" w:ascii="仿宋_GB2312" w:hAnsi="仿宋_GB2312" w:eastAsia="仿宋_GB2312" w:cs="仿宋_GB2312"/>
          <w:sz w:val="32"/>
          <w:szCs w:val="32"/>
        </w:rPr>
        <w:t>办法自印发之日起施行，</w:t>
      </w:r>
      <w:r>
        <w:rPr>
          <w:rFonts w:hint="eastAsia" w:ascii="仿宋_GB2312" w:hAnsi="仿宋_GB2312" w:eastAsia="仿宋_GB2312" w:cs="仿宋_GB2312"/>
          <w:color w:val="000000"/>
          <w:sz w:val="32"/>
          <w:szCs w:val="32"/>
        </w:rPr>
        <w:t>原西北能化经营〔2025〕2号西北能化公司2025年经营管理与监督考核实施意见中</w:t>
      </w:r>
      <w:r>
        <w:rPr>
          <w:rFonts w:hint="eastAsia" w:ascii="仿宋_GB2312" w:hAnsi="仿宋_GB2312" w:eastAsia="仿宋_GB2312" w:cs="仿宋_GB2312"/>
          <w:sz w:val="32"/>
          <w:szCs w:val="32"/>
        </w:rPr>
        <w:t>附件17《合同管理办法》同时废止。</w:t>
      </w:r>
    </w:p>
    <w:p w14:paraId="4A497631">
      <w:pPr>
        <w:keepNext w:val="0"/>
        <w:keepLines w:val="0"/>
        <w:pageBreakBefore w:val="0"/>
        <w:kinsoku/>
        <w:wordWrap/>
        <w:overflowPunct/>
        <w:topLinePunct w:val="0"/>
        <w:autoSpaceDE/>
        <w:autoSpaceDN/>
        <w:bidi w:val="0"/>
        <w:spacing w:line="520" w:lineRule="exact"/>
        <w:textAlignment w:val="auto"/>
        <w:rPr>
          <w:rFonts w:hint="eastAsia" w:ascii="仿宋_GB2312" w:hAnsi="仿宋_GB2312" w:eastAsia="仿宋_GB2312" w:cs="仿宋_GB2312"/>
          <w:bCs/>
          <w:sz w:val="32"/>
          <w:szCs w:val="32"/>
        </w:rPr>
      </w:pPr>
    </w:p>
    <w:p w14:paraId="7F48213F">
      <w:pPr>
        <w:keepNext w:val="0"/>
        <w:keepLines w:val="0"/>
        <w:pageBreakBefore w:val="0"/>
        <w:kinsoku/>
        <w:wordWrap/>
        <w:overflowPunct/>
        <w:topLinePunct w:val="0"/>
        <w:autoSpaceDE/>
        <w:autoSpaceDN/>
        <w:bidi w:val="0"/>
        <w:spacing w:line="520" w:lineRule="exact"/>
        <w:textAlignment w:val="auto"/>
        <w:rPr>
          <w:rFonts w:hint="eastAsia" w:ascii="仿宋_GB2312" w:hAnsi="宋体" w:eastAsia="仿宋_GB2312" w:cs="仿宋_GB2312"/>
          <w:bCs/>
          <w:sz w:val="32"/>
          <w:szCs w:val="32"/>
        </w:rPr>
      </w:pPr>
    </w:p>
    <w:p w14:paraId="22858919">
      <w:pPr>
        <w:pStyle w:val="2"/>
        <w:pageBreakBefore w:val="0"/>
        <w:kinsoku/>
        <w:wordWrap/>
        <w:overflowPunct/>
        <w:topLinePunct w:val="0"/>
        <w:bidi w:val="0"/>
        <w:spacing w:line="520" w:lineRule="exact"/>
        <w:jc w:val="left"/>
        <w:rPr>
          <w:rFonts w:hint="eastAsia" w:ascii="黑体" w:hAnsi="黑体" w:eastAsia="黑体" w:cs="黑体"/>
          <w:b w:val="0"/>
          <w:bCs/>
          <w:kern w:val="2"/>
          <w:sz w:val="32"/>
          <w:szCs w:val="32"/>
          <w:lang w:val="en-US" w:eastAsia="zh-CN"/>
        </w:rPr>
      </w:pPr>
      <w:r>
        <w:rPr>
          <w:rFonts w:hint="eastAsia" w:ascii="黑体" w:hAnsi="黑体" w:eastAsia="黑体" w:cs="黑体"/>
          <w:b w:val="0"/>
          <w:bCs/>
          <w:kern w:val="2"/>
          <w:sz w:val="32"/>
          <w:szCs w:val="32"/>
          <w:lang w:val="en-US" w:eastAsia="zh-CN"/>
        </w:rPr>
        <w:t>附件15</w:t>
      </w:r>
    </w:p>
    <w:p w14:paraId="6073019B">
      <w:pPr>
        <w:pStyle w:val="2"/>
        <w:pageBreakBefore w:val="0"/>
        <w:kinsoku/>
        <w:wordWrap/>
        <w:overflowPunct/>
        <w:topLinePunct w:val="0"/>
        <w:bidi w:val="0"/>
        <w:spacing w:line="520" w:lineRule="exact"/>
        <w:jc w:val="center"/>
        <w:rPr>
          <w:rFonts w:hint="eastAsia" w:ascii="方正小标宋简体" w:hAnsi="方正小标宋简体" w:eastAsia="方正小标宋简体" w:cs="方正小标宋简体"/>
          <w:b w:val="0"/>
          <w:bCs/>
          <w:kern w:val="2"/>
          <w:szCs w:val="44"/>
        </w:rPr>
      </w:pPr>
      <w:r>
        <w:rPr>
          <w:rFonts w:hint="eastAsia" w:ascii="方正小标宋简体" w:hAnsi="方正小标宋简体" w:eastAsia="方正小标宋简体" w:cs="方正小标宋简体"/>
          <w:b w:val="0"/>
          <w:bCs/>
          <w:kern w:val="2"/>
          <w:szCs w:val="44"/>
        </w:rPr>
        <w:t>2026年合规管理若干规定</w:t>
      </w:r>
    </w:p>
    <w:p w14:paraId="68010DE1">
      <w:pPr>
        <w:pageBreakBefore w:val="0"/>
        <w:widowControl/>
        <w:kinsoku/>
        <w:wordWrap/>
        <w:overflowPunct/>
        <w:topLinePunct w:val="0"/>
        <w:autoSpaceDE w:val="0"/>
        <w:autoSpaceDN w:val="0"/>
        <w:bidi w:val="0"/>
        <w:adjustRightInd w:val="0"/>
        <w:snapToGrid w:val="0"/>
        <w:spacing w:line="520" w:lineRule="exact"/>
        <w:ind w:firstLine="620" w:firstLineChars="200"/>
        <w:jc w:val="left"/>
        <w:textAlignment w:val="baseline"/>
        <w:rPr>
          <w:rFonts w:eastAsia="仿宋_GB2312"/>
          <w:bCs/>
          <w:color w:val="000000" w:themeColor="text1"/>
          <w:sz w:val="31"/>
          <w:szCs w:val="31"/>
          <w14:textFill>
            <w14:solidFill>
              <w14:schemeClr w14:val="tx1"/>
            </w14:solidFill>
          </w14:textFill>
        </w:rPr>
      </w:pPr>
    </w:p>
    <w:p w14:paraId="37117E43">
      <w:pPr>
        <w:keepNext w:val="0"/>
        <w:keepLines w:val="0"/>
        <w:pageBreakBefore w:val="0"/>
        <w:widowControl/>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color w:val="000000" w:themeColor="text1"/>
          <w:sz w:val="32"/>
          <w:szCs w:val="32"/>
          <w14:textFill>
            <w14:solidFill>
              <w14:schemeClr w14:val="tx1"/>
            </w14:solidFill>
          </w14:textFill>
        </w:rPr>
        <w:t>为推动西北能化公司合规管理工作，加快提升依法合规经营管理水平，着力打造法治国企，有效防控合规风险，保障企业持续健</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康发展，根据西北能化公司办〔2022年〕124号合规实施细则（试行）、西北能化公司办〔2022年〕134号合规委员会议事规则等合规工作的基础上，制定2026年合规管理日常工作若干规定，具体如下：</w:t>
      </w:r>
    </w:p>
    <w:p w14:paraId="352599D8">
      <w:pPr>
        <w:keepNext w:val="0"/>
        <w:keepLines w:val="0"/>
        <w:pageBreakBefore w:val="0"/>
        <w:widowControl/>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黑体" w:hAnsi="黑体" w:eastAsia="黑体" w:cs="黑体"/>
          <w:b w:val="0"/>
          <w:bCs/>
          <w:snapToGrid w:val="0"/>
          <w:color w:val="000000" w:themeColor="text1"/>
          <w:kern w:val="0"/>
          <w:sz w:val="32"/>
          <w:szCs w:val="32"/>
          <w14:textFill>
            <w14:solidFill>
              <w14:schemeClr w14:val="tx1"/>
            </w14:solidFill>
          </w14:textFill>
        </w:rPr>
      </w:pPr>
      <w:r>
        <w:rPr>
          <w:rFonts w:hint="eastAsia" w:ascii="黑体" w:hAnsi="黑体" w:eastAsia="黑体" w:cs="黑体"/>
          <w:b w:val="0"/>
          <w:bCs/>
          <w:snapToGrid w:val="0"/>
          <w:color w:val="000000" w:themeColor="text1"/>
          <w:kern w:val="0"/>
          <w:sz w:val="32"/>
          <w:szCs w:val="32"/>
          <w14:textFill>
            <w14:solidFill>
              <w14:schemeClr w14:val="tx1"/>
            </w14:solidFill>
          </w14:textFill>
        </w:rPr>
        <w:t xml:space="preserve">一、总体要求 </w:t>
      </w:r>
    </w:p>
    <w:p w14:paraId="7E8BD493">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坚持以习近平新时代中国特色社会主义思想为指导，以“强内控、防风险、促合规”为目标。筑牢“三道防线”切实发挥制度对规范流程、提高效率、防控风险，提升公司合规管理水平。</w:t>
      </w:r>
    </w:p>
    <w:p w14:paraId="5566F4D3">
      <w:pPr>
        <w:keepNext w:val="0"/>
        <w:keepLines w:val="0"/>
        <w:pageBreakBefore w:val="0"/>
        <w:widowControl/>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黑体" w:hAnsi="黑体" w:eastAsia="黑体" w:cs="黑体"/>
          <w:b w:val="0"/>
          <w:bCs/>
          <w:snapToGrid w:val="0"/>
          <w:color w:val="000000" w:themeColor="text1"/>
          <w:kern w:val="0"/>
          <w:sz w:val="32"/>
          <w:szCs w:val="32"/>
          <w14:textFill>
            <w14:solidFill>
              <w14:schemeClr w14:val="tx1"/>
            </w14:solidFill>
          </w14:textFill>
        </w:rPr>
      </w:pPr>
      <w:r>
        <w:rPr>
          <w:rFonts w:hint="eastAsia" w:ascii="黑体" w:hAnsi="黑体" w:eastAsia="黑体" w:cs="黑体"/>
          <w:b w:val="0"/>
          <w:bCs/>
          <w:snapToGrid w:val="0"/>
          <w:color w:val="000000" w:themeColor="text1"/>
          <w:kern w:val="0"/>
          <w:sz w:val="32"/>
          <w:szCs w:val="32"/>
          <w14:textFill>
            <w14:solidFill>
              <w14:schemeClr w14:val="tx1"/>
            </w14:solidFill>
          </w14:textFill>
        </w:rPr>
        <w:t>二、工作原则</w:t>
      </w:r>
    </w:p>
    <w:p w14:paraId="69CB325E">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（一）坚持党的领导。</w:t>
      </w:r>
      <w:r>
        <w:rPr>
          <w:rFonts w:hint="eastAsia" w:ascii="仿宋_GB2312" w:hAnsi="仿宋_GB2312" w:eastAsia="仿宋_GB2312" w:cs="仿宋_GB2312"/>
          <w:b w:val="0"/>
          <w:bCs/>
          <w:color w:val="000000" w:themeColor="text1"/>
          <w:sz w:val="32"/>
          <w:szCs w:val="32"/>
          <w14:textFill>
            <w14:solidFill>
              <w14:schemeClr w14:val="tx1"/>
            </w14:solidFill>
          </w14:textFill>
        </w:rPr>
        <w:t>充分发挥企业党委领导作用，落实全面依法治国战略部署有关要求，把党的领导贯穿合规管理全过程。</w:t>
      </w:r>
    </w:p>
    <w:p w14:paraId="335839AF">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（二）坚持全面覆盖。</w:t>
      </w:r>
      <w:r>
        <w:rPr>
          <w:rFonts w:hint="eastAsia" w:ascii="仿宋_GB2312" w:hAnsi="仿宋_GB2312" w:eastAsia="仿宋_GB2312" w:cs="仿宋_GB2312"/>
          <w:b w:val="0"/>
          <w:bCs/>
          <w:color w:val="000000" w:themeColor="text1"/>
          <w:sz w:val="32"/>
          <w:szCs w:val="32"/>
          <w14:textFill>
            <w14:solidFill>
              <w14:schemeClr w14:val="tx1"/>
            </w14:solidFill>
          </w14:textFill>
        </w:rPr>
        <w:t>将合规要求嵌入经营管理各领域各环节，贯穿决策、执行、监督全过程，落实到各部门，实现上下贯通。</w:t>
      </w:r>
    </w:p>
    <w:p w14:paraId="5AA9B9E0">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（三）坚持权责清晰。</w:t>
      </w:r>
      <w:r>
        <w:rPr>
          <w:rFonts w:hint="eastAsia" w:ascii="仿宋_GB2312" w:hAnsi="仿宋_GB2312" w:eastAsia="仿宋_GB2312" w:cs="仿宋_GB2312"/>
          <w:b w:val="0"/>
          <w:bCs/>
          <w:color w:val="000000" w:themeColor="text1"/>
          <w:sz w:val="32"/>
          <w:szCs w:val="32"/>
          <w14:textFill>
            <w14:solidFill>
              <w14:schemeClr w14:val="tx1"/>
            </w14:solidFill>
          </w14:textFill>
        </w:rPr>
        <w:t>按照“管业务必须管合规”要求，明确业务单位及职能部门、合规管理部门和监督部门职责，严格落实员工合规责任，对违规行为严肃问责。</w:t>
      </w:r>
    </w:p>
    <w:p w14:paraId="3C4CB545">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（四）坚持务实高效。</w:t>
      </w:r>
      <w:r>
        <w:rPr>
          <w:rFonts w:hint="eastAsia" w:ascii="仿宋_GB2312" w:hAnsi="仿宋_GB2312" w:eastAsia="仿宋_GB2312" w:cs="仿宋_GB2312"/>
          <w:b w:val="0"/>
          <w:bCs/>
          <w:color w:val="000000" w:themeColor="text1"/>
          <w:sz w:val="32"/>
          <w:szCs w:val="32"/>
          <w14:textFill>
            <w14:solidFill>
              <w14:schemeClr w14:val="tx1"/>
            </w14:solidFill>
          </w14:textFill>
        </w:rPr>
        <w:t>建立健全符合企业实际的合规管理架构，突出对重点领域、关键环节和重要人员的管理。</w:t>
      </w:r>
    </w:p>
    <w:p w14:paraId="65D2EB4F">
      <w:pPr>
        <w:keepNext w:val="0"/>
        <w:keepLines w:val="0"/>
        <w:pageBreakBefore w:val="0"/>
        <w:widowControl/>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黑体" w:hAnsi="黑体" w:eastAsia="黑体" w:cs="黑体"/>
          <w:b w:val="0"/>
          <w:bCs/>
          <w:snapToGrid w:val="0"/>
          <w:color w:val="000000" w:themeColor="text1"/>
          <w:kern w:val="0"/>
          <w:sz w:val="32"/>
          <w:szCs w:val="32"/>
          <w14:textFill>
            <w14:solidFill>
              <w14:schemeClr w14:val="tx1"/>
            </w14:solidFill>
          </w14:textFill>
        </w:rPr>
      </w:pPr>
      <w:r>
        <w:rPr>
          <w:rFonts w:hint="eastAsia" w:ascii="黑体" w:hAnsi="黑体" w:eastAsia="黑体" w:cs="黑体"/>
          <w:b w:val="0"/>
          <w:bCs/>
          <w:snapToGrid w:val="0"/>
          <w:color w:val="000000" w:themeColor="text1"/>
          <w:kern w:val="0"/>
          <w:sz w:val="32"/>
          <w:szCs w:val="32"/>
          <w14:textFill>
            <w14:solidFill>
              <w14:schemeClr w14:val="tx1"/>
            </w14:solidFill>
          </w14:textFill>
        </w:rPr>
        <w:t xml:space="preserve">三、主要目标  </w:t>
      </w:r>
    </w:p>
    <w:p w14:paraId="679A2E55">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（一）体系更加健全。</w:t>
      </w:r>
      <w:r>
        <w:rPr>
          <w:rFonts w:hint="eastAsia" w:ascii="仿宋_GB2312" w:hAnsi="仿宋_GB2312" w:eastAsia="仿宋_GB2312" w:cs="仿宋_GB2312"/>
          <w:b w:val="0"/>
          <w:bCs/>
          <w:color w:val="000000" w:themeColor="text1"/>
          <w:sz w:val="32"/>
          <w:szCs w:val="32"/>
          <w14:textFill>
            <w14:solidFill>
              <w14:schemeClr w14:val="tx1"/>
            </w14:solidFill>
          </w14:textFill>
        </w:rPr>
        <w:t>形成与公司发展情况、业务复杂程度，架构完整、层级清晰、运行高效的合规管理体系。</w:t>
      </w:r>
    </w:p>
    <w:p w14:paraId="20F05DA7">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（二）机制运行顺畅。</w:t>
      </w:r>
      <w:r>
        <w:rPr>
          <w:rFonts w:hint="eastAsia" w:ascii="仿宋_GB2312" w:hAnsi="仿宋_GB2312" w:eastAsia="仿宋_GB2312" w:cs="仿宋_GB2312"/>
          <w:b w:val="0"/>
          <w:bCs/>
          <w:color w:val="000000" w:themeColor="text1"/>
          <w:sz w:val="32"/>
          <w:szCs w:val="32"/>
          <w14:textFill>
            <w14:solidFill>
              <w14:schemeClr w14:val="tx1"/>
            </w14:solidFill>
          </w14:textFill>
        </w:rPr>
        <w:t>合规风险识别、合规审查、</w:t>
      </w:r>
      <w:r>
        <w:rPr>
          <w:rFonts w:hint="eastAsia" w:ascii="仿宋_GB2312" w:hAnsi="仿宋_GB2312" w:eastAsia="仿宋_GB2312" w:cs="仿宋_GB2312"/>
          <w:b w:val="0"/>
          <w:bCs/>
          <w:sz w:val="32"/>
          <w:szCs w:val="32"/>
        </w:rPr>
        <w:t>合规检查、合规考核</w:t>
      </w:r>
      <w:r>
        <w:rPr>
          <w:rFonts w:hint="eastAsia" w:ascii="仿宋_GB2312" w:hAnsi="仿宋_GB2312" w:eastAsia="仿宋_GB2312" w:cs="仿宋_GB2312"/>
          <w:b w:val="0"/>
          <w:bCs/>
          <w:color w:val="000000" w:themeColor="text1"/>
          <w:sz w:val="32"/>
          <w:szCs w:val="32"/>
          <w14:textFill>
            <w14:solidFill>
              <w14:schemeClr w14:val="tx1"/>
            </w14:solidFill>
          </w14:textFill>
        </w:rPr>
        <w:t>等关键流程实现常态化。</w:t>
      </w:r>
    </w:p>
    <w:p w14:paraId="4045A34A">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（三）风险有效管控。</w:t>
      </w:r>
      <w:r>
        <w:rPr>
          <w:rFonts w:hint="eastAsia" w:ascii="仿宋_GB2312" w:hAnsi="仿宋_GB2312" w:eastAsia="仿宋_GB2312" w:cs="仿宋_GB2312"/>
          <w:b w:val="0"/>
          <w:bCs/>
          <w:color w:val="000000" w:themeColor="text1"/>
          <w:sz w:val="32"/>
          <w:szCs w:val="32"/>
          <w14:textFill>
            <w14:solidFill>
              <w14:schemeClr w14:val="tx1"/>
            </w14:solidFill>
          </w14:textFill>
        </w:rPr>
        <w:t>重大合规风险事件得到有效遏制，违规事件数量及影响显著下降，应对风险能力显著增强。</w:t>
      </w:r>
    </w:p>
    <w:p w14:paraId="4A961CA2">
      <w:pPr>
        <w:keepNext w:val="0"/>
        <w:keepLines w:val="0"/>
        <w:pageBreakBefore w:val="0"/>
        <w:tabs>
          <w:tab w:val="left" w:pos="960"/>
        </w:tabs>
        <w:kinsoku/>
        <w:wordWrap/>
        <w:overflowPunct/>
        <w:topLinePunct w:val="0"/>
        <w:bidi w:val="0"/>
        <w:spacing w:line="500" w:lineRule="exact"/>
        <w:ind w:firstLine="640" w:firstLineChars="200"/>
        <w:rPr>
          <w:rFonts w:hint="eastAsia" w:ascii="仿宋_GB2312" w:hAnsi="仿宋_GB2312" w:eastAsia="仿宋_GB2312" w:cs="仿宋_GB2312"/>
          <w:b w:val="0"/>
          <w:bCs/>
          <w:color w:val="000000" w:themeColor="text1"/>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（四）文化深入人心。</w:t>
      </w:r>
      <w:r>
        <w:rPr>
          <w:rFonts w:hint="eastAsia" w:ascii="仿宋_GB2312" w:hAnsi="仿宋_GB2312" w:eastAsia="仿宋_GB2312" w:cs="仿宋_GB2312"/>
          <w:b w:val="0"/>
          <w:bCs/>
          <w:color w:val="000000" w:themeColor="text1"/>
          <w:sz w:val="32"/>
          <w:szCs w:val="32"/>
          <w14:textFill>
            <w14:solidFill>
              <w14:schemeClr w14:val="tx1"/>
            </w14:solidFill>
          </w14:textFill>
        </w:rPr>
        <w:t>全员合规意识普遍提升，“主动合规</w:t>
      </w:r>
      <w:r>
        <w:rPr>
          <w:rFonts w:hint="eastAsia" w:ascii="仿宋_GB2312" w:hAnsi="仿宋_GB2312" w:eastAsia="仿宋_GB2312" w:cs="仿宋_GB2312"/>
          <w:b w:val="0"/>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color w:val="000000" w:themeColor="text1"/>
          <w:sz w:val="32"/>
          <w:szCs w:val="32"/>
          <w14:textFill>
            <w14:solidFill>
              <w14:schemeClr w14:val="tx1"/>
            </w14:solidFill>
          </w14:textFill>
        </w:rPr>
        <w:t xml:space="preserve">人人合规”的文化氛围更加浓厚，合规成为员工的自觉行动。    </w:t>
      </w:r>
    </w:p>
    <w:p w14:paraId="7BD54904">
      <w:pPr>
        <w:keepNext w:val="0"/>
        <w:keepLines w:val="0"/>
        <w:pageBreakBefore w:val="0"/>
        <w:widowControl/>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黑体" w:hAnsi="黑体" w:eastAsia="黑体" w:cs="黑体"/>
          <w:b w:val="0"/>
          <w:bCs/>
          <w:snapToGrid w:val="0"/>
          <w:color w:val="000000" w:themeColor="text1"/>
          <w:kern w:val="0"/>
          <w:sz w:val="32"/>
          <w:szCs w:val="32"/>
          <w14:textFill>
            <w14:solidFill>
              <w14:schemeClr w14:val="tx1"/>
            </w14:solidFill>
          </w14:textFill>
        </w:rPr>
      </w:pPr>
      <w:r>
        <w:rPr>
          <w:rFonts w:hint="eastAsia" w:ascii="黑体" w:hAnsi="黑体" w:eastAsia="黑体" w:cs="黑体"/>
          <w:b w:val="0"/>
          <w:bCs/>
          <w:snapToGrid w:val="0"/>
          <w:color w:val="000000" w:themeColor="text1"/>
          <w:kern w:val="0"/>
          <w:sz w:val="32"/>
          <w:szCs w:val="32"/>
          <w14:textFill>
            <w14:solidFill>
              <w14:schemeClr w14:val="tx1"/>
            </w14:solidFill>
          </w14:textFill>
        </w:rPr>
        <w:t>四、重点工作</w:t>
      </w:r>
    </w:p>
    <w:p w14:paraId="405F1A4F">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（一）加强党的领导</w:t>
      </w:r>
    </w:p>
    <w:p w14:paraId="1B812C48">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坚持党委对合规管理的全面领导</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党委中心组每年专题学习习近平法治思想不少于 2 次</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强化依法合规经营意识。</w:t>
      </w:r>
    </w:p>
    <w:p w14:paraId="458C88FE">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责任单位：综合部                </w:t>
      </w:r>
    </w:p>
    <w:p w14:paraId="6D946554">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每年至少召开1次法治建设（合规管理）工作会议。</w:t>
      </w:r>
    </w:p>
    <w:p w14:paraId="71004099">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责任单位：综合部  合规管理部门           </w:t>
      </w:r>
    </w:p>
    <w:p w14:paraId="31BB1BCE">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合规委员会每年至少召开</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次会议。</w:t>
      </w:r>
    </w:p>
    <w:p w14:paraId="722668CD">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责任单位：综合部            </w:t>
      </w:r>
    </w:p>
    <w:p w14:paraId="468F7ECD">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（二）制度建设</w:t>
      </w:r>
    </w:p>
    <w:p w14:paraId="0A0061E8">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常态化开展制度“废改立”，每年2月底之前形成制度废改立清单，由综合部汇总将制度立改废清单报合规管理办公室。</w:t>
      </w:r>
    </w:p>
    <w:p w14:paraId="4BB8B62E">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综合部      </w:t>
      </w:r>
    </w:p>
    <w:p w14:paraId="0831E5B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动态优化“三重一大”决策制度，每年开展 1 次“三会”议事规则、董事会授权清单执行情况评估，及时进行制度修订完善。       </w:t>
      </w:r>
    </w:p>
    <w:p w14:paraId="7D458F1D">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责任单位： 综合部</w:t>
      </w:r>
    </w:p>
    <w:p w14:paraId="7090473D">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对现行有关规章制度缺陷进行评估，更新2026年制度废改立工作计划，同时上报2026年制度执行情况。</w:t>
      </w:r>
    </w:p>
    <w:p w14:paraId="6A09EB2A">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198F9BC7">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（三）合规审查</w:t>
      </w:r>
    </w:p>
    <w:p w14:paraId="3557DBE3">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7.</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规范“三会”会议通知、资料送达、议案格式、会议记录</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研究决策涉及公司重大利益的事项要按规定提前汇报。</w:t>
      </w:r>
    </w:p>
    <w:p w14:paraId="069B6EF5">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 责任单位：综合部           </w:t>
      </w:r>
    </w:p>
    <w:p w14:paraId="13FC582A">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highlight w:val="yellow"/>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将合规审查作为必经前置程序嵌入经营管理行为。各部门应严格重大事项合法合规性审查，具体为：承办业务部门牵头的规章制度、重大决策等事项必须履行合规审查手续，并认真填写《合规审查表》</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重大合同履行合同会审会签的同时填写《重大合同合规审查表》，由承办业务部门、分管领导履行合规审查手续</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对制度、</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重大决策</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重</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大合同合规首席</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官</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提出明确意见并签字。</w:t>
      </w:r>
    </w:p>
    <w:p w14:paraId="52CF0EB6">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4D5C2E2E">
      <w:pPr>
        <w:keepNext w:val="0"/>
        <w:keepLines w:val="0"/>
        <w:pageBreakBefore w:val="0"/>
        <w:widowControl/>
        <w:numPr>
          <w:ilvl w:val="0"/>
          <w:numId w:val="2"/>
        </w:numPr>
        <w:tabs>
          <w:tab w:val="left" w:pos="960"/>
          <w:tab w:val="clear" w:pos="312"/>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将合法合规性审查和重大风险评估作为重大决策事项必经前置程序，党委会、董事会研究讨论或审议涉及法律合规相关议题。</w:t>
      </w:r>
    </w:p>
    <w:p w14:paraId="40C56F7F">
      <w:pPr>
        <w:keepNext w:val="0"/>
        <w:keepLines w:val="0"/>
        <w:pageBreakBefore w:val="0"/>
        <w:widowControl/>
        <w:numPr>
          <w:numId w:val="0"/>
        </w:numPr>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综合部         </w:t>
      </w:r>
    </w:p>
    <w:p w14:paraId="71532E3B">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各部门每月底前将本月已完成备案合同进行情况统计，将统计情况上报综合部，综合部对合同统计情况进行核查，确认无误后上报合规管理办公室，由合规办公室报送集团公司法务部。</w:t>
      </w:r>
    </w:p>
    <w:p w14:paraId="1F21782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责任单位：各部门、综合部、合规管理部门   </w:t>
      </w:r>
    </w:p>
    <w:p w14:paraId="620A7D00">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（四）案件管理</w:t>
      </w:r>
    </w:p>
    <w:p w14:paraId="476A623C">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每月月底各业务部门报送案件情况，合规管理部门向集团公司法务部报送案件当事人、案由、涉案金额、工作进展、工作专班成员等信息汇总表。</w:t>
      </w:r>
    </w:p>
    <w:p w14:paraId="57476D97">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责任单位：各部门、合规管理部门     </w:t>
      </w:r>
    </w:p>
    <w:p w14:paraId="6A4412DE">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严格执行《皖北煤电集团公司法律纠纷案件管理办法》，试行案件应对“五严一快”（严密工作部署、严格事实调查、严格证据把关、严格策略制定、严控重大风险、快速响应处置）工作法，重大案件会商会审。</w:t>
      </w:r>
    </w:p>
    <w:p w14:paraId="5094C6C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7699E0D5">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各部门每年开展1次法律纠纷风险排查，排查结果由合规管理部门报集团公司法务部备案。</w:t>
      </w:r>
    </w:p>
    <w:p w14:paraId="08533BDA">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7C2BC008">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案件办结30日内，通过法律意见书、建议函等方式推动相关单位完善制度，堵塞管理漏洞。按照集团公司法律纠纷管理办法做好报告、处置工作，案件处理完毕30日</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内</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撰写案件分析报告。</w:t>
      </w:r>
    </w:p>
    <w:p w14:paraId="3572E8B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 责任单位：各部门        </w:t>
      </w:r>
    </w:p>
    <w:p w14:paraId="1455BCD3">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（五）风险识别</w:t>
      </w:r>
    </w:p>
    <w:p w14:paraId="38399B0F">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全面梳理重点岗位合规风险，制定岗位合规职责清单，定期更新完善；全面梳理重点业务流程合规风险，制定流程合规管控清单，定期更新完善。</w:t>
      </w:r>
    </w:p>
    <w:p w14:paraId="14FE4EF7">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7B281C43">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每年定期开展内控测试和评价，对发现的内控缺陷等问题及时处理、报告。</w:t>
      </w:r>
    </w:p>
    <w:p w14:paraId="4CD141EE">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责任单位：财务部         </w:t>
      </w:r>
    </w:p>
    <w:p w14:paraId="12DB3097">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17</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坚持重大风险清单管理，每年初开展1次全面重大风险识别清单，确定防控目标、提出针对性防控化解措施，将风险报告结果上报合规管理办公室。</w:t>
      </w:r>
    </w:p>
    <w:p w14:paraId="7DE3BE4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2506ED07">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（六）风险应对与责任追究</w:t>
      </w:r>
    </w:p>
    <w:p w14:paraId="15BFF38C">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公司内部进行经管、财务、安全生产、质量环保等监督检查时，应当将合规管理列入监督检查内容，对发现的合规风险、合规隐患、违规问题进行记录并</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提出</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整改要求，检查完毕后应当向合规管理办公室通报记录备案，跟进后续整改情况。</w:t>
      </w:r>
    </w:p>
    <w:p w14:paraId="7FEEF8B4">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0DC81019">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19</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各单位落实合规管理报告制度，因违法违规行为造成的合规风险事件，有关单位必须第一时间向公司报告并在相关事件发生之日起48小时内提交书面报告。</w:t>
      </w:r>
    </w:p>
    <w:p w14:paraId="4F1E488D">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57D22F46">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公司合规管理办公室在开展合规管理工作中发现违纪违法问题，应及时向纪委通报或移交有关线索。</w:t>
      </w:r>
    </w:p>
    <w:p w14:paraId="356C7968">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责任单位：合规管理部门        </w:t>
      </w:r>
    </w:p>
    <w:p w14:paraId="1D7A509E">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（七）考核评价</w:t>
      </w:r>
    </w:p>
    <w:p w14:paraId="78737BF6">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年末对公司各业务部门合规工作完成情况进行考核评价，包括对员工未按时参加合规培训的，对未按时报送合规管理年度总结或报告等日常工作未完成的，给予单位负责人通报批评，并责令整改。</w:t>
      </w:r>
    </w:p>
    <w:p w14:paraId="01677FE9">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责任单位：合规管理部门     </w:t>
      </w:r>
    </w:p>
    <w:p w14:paraId="7AA2C4B7">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年末对全年合规管理工作中发现的问题、风险隐患进行跟踪，对风险隐患整改落实情况进行监督评价。</w:t>
      </w:r>
    </w:p>
    <w:p w14:paraId="51618DBA">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2686F782">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（八）合规文化</w:t>
      </w:r>
    </w:p>
    <w:p w14:paraId="22D1EF06">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领导干部带头签署合规承诺书，全员动态合规承诺书签订率100%</w:t>
      </w:r>
    </w:p>
    <w:p w14:paraId="6ACB86E1">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1D024D71">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各部门12月底向合规管理办公室报送本部门合规管理年度总结，提出合规管理建议。</w:t>
      </w:r>
    </w:p>
    <w:p w14:paraId="7C61AA8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w:t>
      </w:r>
    </w:p>
    <w:p w14:paraId="501E6FE2">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每年开展普法宣传活动不少于</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次</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p>
    <w:p w14:paraId="7F694819">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责任单位：各部门  合规管理部门</w:t>
      </w:r>
    </w:p>
    <w:p w14:paraId="49D741D9">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26.</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建立常态化合规培训机制，公司每年至少开展1次合规培训，对重点领域、高风险岗位人员及基层一线人员组织开展相关制度及业务合规培训，提升合规意识和合规能力。</w:t>
      </w:r>
    </w:p>
    <w:p w14:paraId="582CAE7E">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责任单位：各部门  合规管理部门                 </w:t>
      </w:r>
    </w:p>
    <w:p w14:paraId="452EFAAE">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（九）其他</w:t>
      </w:r>
    </w:p>
    <w:p w14:paraId="3653B60F">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2</w:t>
      </w: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7</w:t>
      </w:r>
      <w:r>
        <w:rPr>
          <w:rFonts w:hint="eastAsia" w:ascii="仿宋_GB2312" w:hAnsi="仿宋_GB2312" w:eastAsia="仿宋_GB2312" w:cs="仿宋_GB2312"/>
          <w:b w:val="0"/>
          <w:bCs/>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及时关注集团公司合规管理工作方面相关政策制度，落实制度要求开展合规管理工作；完成上级指派的临时性合规管理任务；配合上级部门合规巡查，对发现的问题及时进行整改。</w:t>
      </w:r>
    </w:p>
    <w:p w14:paraId="447C36EA">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 xml:space="preserve">责任单位：合规管理部门    </w:t>
      </w:r>
    </w:p>
    <w:p w14:paraId="5B038685">
      <w:pPr>
        <w:keepNext w:val="0"/>
        <w:keepLines w:val="0"/>
        <w:pageBreakBefore w:val="0"/>
        <w:tabs>
          <w:tab w:val="left" w:pos="960"/>
        </w:tabs>
        <w:kinsoku/>
        <w:wordWrap/>
        <w:overflowPunct/>
        <w:topLinePunct w:val="0"/>
        <w:bidi w:val="0"/>
        <w:spacing w:line="500" w:lineRule="exact"/>
        <w:ind w:firstLine="640" w:firstLineChars="200"/>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r>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t>（十）附表</w:t>
      </w:r>
    </w:p>
    <w:p w14:paraId="314C8F08">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1.合规委员会组织机构及人员情况表</w:t>
      </w:r>
    </w:p>
    <w:p w14:paraId="3EE75824">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2.重大合同合规审查表</w:t>
      </w:r>
    </w:p>
    <w:p w14:paraId="71422DFA">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t>合规审查表</w:t>
      </w:r>
    </w:p>
    <w:p w14:paraId="78EF6C73">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 w:val="0"/>
          <w:bCs/>
          <w:snapToGrid w:val="0"/>
          <w:color w:val="000000" w:themeColor="text1"/>
          <w:kern w:val="0"/>
          <w:sz w:val="32"/>
          <w:szCs w:val="32"/>
          <w:lang w:val="en-US" w:eastAsia="zh-CN"/>
          <w14:textFill>
            <w14:solidFill>
              <w14:schemeClr w14:val="tx1"/>
            </w14:solidFill>
          </w14:textFill>
        </w:rPr>
        <w:t>4.合规管理工作考核评价表</w:t>
      </w:r>
    </w:p>
    <w:p w14:paraId="1910C856">
      <w:pPr>
        <w:keepNext w:val="0"/>
        <w:keepLines w:val="0"/>
        <w:pageBreakBefore w:val="0"/>
        <w:widowControl/>
        <w:tabs>
          <w:tab w:val="left" w:pos="960"/>
        </w:tabs>
        <w:kinsoku/>
        <w:wordWrap/>
        <w:overflowPunct/>
        <w:topLinePunct w:val="0"/>
        <w:autoSpaceDE w:val="0"/>
        <w:autoSpaceDN w:val="0"/>
        <w:bidi w:val="0"/>
        <w:adjustRightInd w:val="0"/>
        <w:snapToGrid w:val="0"/>
        <w:spacing w:line="500" w:lineRule="exact"/>
        <w:ind w:firstLine="640" w:firstLineChars="200"/>
        <w:jc w:val="left"/>
        <w:textAlignment w:val="baseline"/>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p>
    <w:p w14:paraId="7DFC456E">
      <w:pPr>
        <w:pageBreakBefore w:val="0"/>
        <w:kinsoku/>
        <w:wordWrap/>
        <w:overflowPunct/>
        <w:topLinePunct w:val="0"/>
        <w:bidi w:val="0"/>
        <w:spacing w:line="520" w:lineRule="exact"/>
        <w:rPr>
          <w:rFonts w:hint="eastAsia" w:ascii="仿宋_GB2312" w:hAnsi="宋体" w:eastAsia="仿宋_GB2312" w:cs="仿宋_GB2312"/>
          <w:bCs/>
          <w:sz w:val="32"/>
          <w:szCs w:val="32"/>
        </w:rPr>
      </w:pPr>
    </w:p>
    <w:p w14:paraId="52007928">
      <w:pPr>
        <w:pageBreakBefore w:val="0"/>
        <w:kinsoku/>
        <w:wordWrap/>
        <w:overflowPunct/>
        <w:topLinePunct w:val="0"/>
        <w:bidi w:val="0"/>
        <w:spacing w:line="520" w:lineRule="exact"/>
        <w:rPr>
          <w:rFonts w:hint="eastAsia" w:ascii="仿宋_GB2312" w:hAnsi="宋体" w:eastAsia="仿宋_GB2312" w:cs="仿宋_GB2312"/>
          <w:bCs/>
          <w:sz w:val="32"/>
          <w:szCs w:val="32"/>
        </w:rPr>
      </w:pPr>
    </w:p>
    <w:p w14:paraId="7734D875">
      <w:pPr>
        <w:pageBreakBefore w:val="0"/>
        <w:kinsoku/>
        <w:wordWrap/>
        <w:overflowPunct/>
        <w:topLinePunct w:val="0"/>
        <w:bidi w:val="0"/>
        <w:spacing w:line="520" w:lineRule="exact"/>
        <w:rPr>
          <w:rFonts w:hint="eastAsia" w:ascii="仿宋_GB2312" w:hAnsi="宋体" w:eastAsia="仿宋_GB2312" w:cs="仿宋_GB2312"/>
          <w:bCs/>
          <w:sz w:val="32"/>
          <w:szCs w:val="32"/>
        </w:rPr>
      </w:pPr>
    </w:p>
    <w:p w14:paraId="70D13A26">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4AF670AE">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2982E72D">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3A8958BF">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231F275C">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447AF120">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6D51A78B">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4489A2DE">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7157A8F4">
      <w:pPr>
        <w:widowControl/>
        <w:tabs>
          <w:tab w:val="left" w:pos="960"/>
        </w:tabs>
        <w:autoSpaceDE w:val="0"/>
        <w:autoSpaceDN w:val="0"/>
        <w:adjustRightInd w:val="0"/>
        <w:snapToGrid w:val="0"/>
        <w:spacing w:line="520" w:lineRule="exact"/>
        <w:jc w:val="left"/>
        <w:textAlignment w:val="baseline"/>
        <w:rPr>
          <w:rFonts w:hint="eastAsia" w:eastAsia="仿宋_GB2312"/>
          <w:bCs/>
          <w:snapToGrid w:val="0"/>
          <w:color w:val="000000" w:themeColor="text1"/>
          <w:kern w:val="0"/>
          <w:sz w:val="32"/>
          <w:szCs w:val="32"/>
          <w14:textFill>
            <w14:solidFill>
              <w14:schemeClr w14:val="tx1"/>
            </w14:solidFill>
          </w14:textFill>
        </w:rPr>
      </w:pPr>
    </w:p>
    <w:p w14:paraId="317DCFE8">
      <w:pPr>
        <w:widowControl/>
        <w:tabs>
          <w:tab w:val="left" w:pos="960"/>
        </w:tabs>
        <w:autoSpaceDE w:val="0"/>
        <w:autoSpaceDN w:val="0"/>
        <w:adjustRightInd w:val="0"/>
        <w:snapToGrid w:val="0"/>
        <w:spacing w:line="520" w:lineRule="exact"/>
        <w:jc w:val="left"/>
        <w:textAlignment w:val="baseline"/>
        <w:rPr>
          <w:rFonts w:hint="eastAsia" w:ascii="黑体" w:hAnsi="黑体" w:eastAsia="黑体" w:cs="黑体"/>
          <w:bCs/>
          <w:snapToGrid w:val="0"/>
          <w:color w:val="000000" w:themeColor="text1"/>
          <w:kern w:val="0"/>
          <w:sz w:val="32"/>
          <w:szCs w:val="32"/>
          <w14:textFill>
            <w14:solidFill>
              <w14:schemeClr w14:val="tx1"/>
            </w14:solidFill>
          </w14:textFill>
        </w:rPr>
      </w:pPr>
      <w:r>
        <w:rPr>
          <w:rFonts w:hint="eastAsia" w:ascii="黑体" w:hAnsi="黑体" w:eastAsia="黑体" w:cs="黑体"/>
          <w:bCs/>
          <w:snapToGrid w:val="0"/>
          <w:color w:val="000000" w:themeColor="text1"/>
          <w:kern w:val="0"/>
          <w:sz w:val="32"/>
          <w:szCs w:val="32"/>
          <w14:textFill>
            <w14:solidFill>
              <w14:schemeClr w14:val="tx1"/>
            </w14:solidFill>
          </w14:textFill>
        </w:rPr>
        <w:t>附表1</w:t>
      </w:r>
    </w:p>
    <w:p w14:paraId="429DC296">
      <w:pPr>
        <w:spacing w:line="560" w:lineRule="exact"/>
        <w:jc w:val="center"/>
        <w:rPr>
          <w:rFonts w:hint="eastAsia" w:ascii="黑体" w:hAnsi="黑体" w:eastAsia="黑体"/>
          <w:sz w:val="32"/>
          <w:szCs w:val="32"/>
        </w:rPr>
      </w:pPr>
      <w:r>
        <w:rPr>
          <w:rFonts w:hint="eastAsia" w:ascii="黑体" w:hAnsi="黑体" w:eastAsia="黑体"/>
          <w:sz w:val="32"/>
          <w:szCs w:val="32"/>
        </w:rPr>
        <w:t>西北能化公司合规委员会人员情况表</w:t>
      </w:r>
    </w:p>
    <w:tbl>
      <w:tblPr>
        <w:tblStyle w:val="10"/>
        <w:tblW w:w="8245" w:type="dxa"/>
        <w:jc w:val="center"/>
        <w:tblLayout w:type="fixed"/>
        <w:tblCellMar>
          <w:top w:w="0" w:type="dxa"/>
          <w:left w:w="108" w:type="dxa"/>
          <w:bottom w:w="0" w:type="dxa"/>
          <w:right w:w="108" w:type="dxa"/>
        </w:tblCellMar>
      </w:tblPr>
      <w:tblGrid>
        <w:gridCol w:w="1099"/>
        <w:gridCol w:w="2935"/>
        <w:gridCol w:w="2529"/>
        <w:gridCol w:w="1682"/>
      </w:tblGrid>
      <w:tr w14:paraId="2909DADE">
        <w:tblPrEx>
          <w:tblCellMar>
            <w:top w:w="0" w:type="dxa"/>
            <w:left w:w="108" w:type="dxa"/>
            <w:bottom w:w="0" w:type="dxa"/>
            <w:right w:w="108" w:type="dxa"/>
          </w:tblCellMar>
        </w:tblPrEx>
        <w:trPr>
          <w:trHeight w:val="463"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36E6626D">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姓</w:t>
            </w:r>
            <w:r>
              <w:rPr>
                <w:rFonts w:hint="eastAsia" w:ascii="黑体" w:hAnsi="宋体" w:eastAsia="黑体" w:cs="黑体"/>
                <w:color w:val="000000"/>
                <w:kern w:val="0"/>
                <w:sz w:val="20"/>
                <w:szCs w:val="20"/>
                <w:lang w:val="en-US" w:eastAsia="zh-CN" w:bidi="ar"/>
              </w:rPr>
              <w:t xml:space="preserve">  </w:t>
            </w:r>
            <w:r>
              <w:rPr>
                <w:rFonts w:hint="eastAsia" w:ascii="黑体" w:hAnsi="宋体" w:eastAsia="黑体" w:cs="黑体"/>
                <w:color w:val="000000"/>
                <w:kern w:val="0"/>
                <w:sz w:val="20"/>
                <w:szCs w:val="20"/>
                <w:lang w:bidi="ar"/>
              </w:rPr>
              <w:t>名</w:t>
            </w:r>
          </w:p>
        </w:tc>
        <w:tc>
          <w:tcPr>
            <w:tcW w:w="2935" w:type="dxa"/>
            <w:tcBorders>
              <w:top w:val="single" w:color="000000" w:sz="4" w:space="0"/>
              <w:left w:val="single" w:color="000000" w:sz="4" w:space="0"/>
              <w:bottom w:val="single" w:color="000000" w:sz="4" w:space="0"/>
              <w:right w:val="single" w:color="000000" w:sz="4" w:space="0"/>
            </w:tcBorders>
            <w:vAlign w:val="center"/>
          </w:tcPr>
          <w:p w14:paraId="3F5AC1DF">
            <w:pPr>
              <w:widowControl/>
              <w:jc w:val="center"/>
              <w:textAlignment w:val="center"/>
              <w:rPr>
                <w:rFonts w:hint="default"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val="en-US" w:eastAsia="zh-CN" w:bidi="ar"/>
              </w:rPr>
              <w:t>合规委员会</w:t>
            </w:r>
          </w:p>
        </w:tc>
        <w:tc>
          <w:tcPr>
            <w:tcW w:w="2529" w:type="dxa"/>
            <w:tcBorders>
              <w:top w:val="single" w:color="000000" w:sz="4" w:space="0"/>
              <w:left w:val="single" w:color="000000" w:sz="4" w:space="0"/>
              <w:bottom w:val="single" w:color="000000" w:sz="4" w:space="0"/>
              <w:right w:val="single" w:color="000000" w:sz="4" w:space="0"/>
            </w:tcBorders>
            <w:vAlign w:val="center"/>
          </w:tcPr>
          <w:p w14:paraId="17CC4C6D">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部门/职务</w:t>
            </w:r>
          </w:p>
        </w:tc>
        <w:tc>
          <w:tcPr>
            <w:tcW w:w="1682" w:type="dxa"/>
            <w:tcBorders>
              <w:top w:val="single" w:color="000000" w:sz="4" w:space="0"/>
              <w:left w:val="single" w:color="000000" w:sz="4" w:space="0"/>
              <w:bottom w:val="single" w:color="000000" w:sz="4" w:space="0"/>
              <w:right w:val="single" w:color="000000" w:sz="4" w:space="0"/>
            </w:tcBorders>
            <w:vAlign w:val="center"/>
          </w:tcPr>
          <w:p w14:paraId="7A87064E">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sz w:val="20"/>
                <w:szCs w:val="20"/>
              </w:rPr>
              <w:t>联系电话</w:t>
            </w:r>
          </w:p>
        </w:tc>
      </w:tr>
      <w:tr w14:paraId="3969D4C9">
        <w:tblPrEx>
          <w:tblCellMar>
            <w:top w:w="0" w:type="dxa"/>
            <w:left w:w="108" w:type="dxa"/>
            <w:bottom w:w="0" w:type="dxa"/>
            <w:right w:w="108" w:type="dxa"/>
          </w:tblCellMar>
        </w:tblPrEx>
        <w:trPr>
          <w:trHeight w:val="357"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7761A452">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sz w:val="20"/>
                <w:szCs w:val="20"/>
                <w:lang w:bidi="ar"/>
              </w:rPr>
              <w:t>任安全</w:t>
            </w:r>
          </w:p>
        </w:tc>
        <w:tc>
          <w:tcPr>
            <w:tcW w:w="2935" w:type="dxa"/>
            <w:tcBorders>
              <w:top w:val="single" w:color="000000" w:sz="4" w:space="0"/>
              <w:left w:val="single" w:color="000000" w:sz="4" w:space="0"/>
              <w:bottom w:val="single" w:color="000000" w:sz="4" w:space="0"/>
              <w:right w:val="single" w:color="000000" w:sz="4" w:space="0"/>
            </w:tcBorders>
            <w:vAlign w:val="center"/>
          </w:tcPr>
          <w:p w14:paraId="77E9DE4A">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合规委员会主任</w:t>
            </w:r>
          </w:p>
        </w:tc>
        <w:tc>
          <w:tcPr>
            <w:tcW w:w="2529" w:type="dxa"/>
            <w:tcBorders>
              <w:top w:val="single" w:color="000000" w:sz="4" w:space="0"/>
              <w:left w:val="single" w:color="000000" w:sz="4" w:space="0"/>
              <w:bottom w:val="single" w:color="000000" w:sz="4" w:space="0"/>
              <w:right w:val="single" w:color="000000" w:sz="4" w:space="0"/>
            </w:tcBorders>
            <w:vAlign w:val="center"/>
          </w:tcPr>
          <w:p w14:paraId="6201AA80">
            <w:pPr>
              <w:widowControl/>
              <w:jc w:val="center"/>
              <w:textAlignment w:val="center"/>
              <w:rPr>
                <w:rFonts w:hint="default"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党委书记</w:t>
            </w:r>
            <w:r>
              <w:rPr>
                <w:rFonts w:hint="eastAsia" w:ascii="黑体" w:hAnsi="宋体" w:eastAsia="黑体" w:cs="黑体"/>
                <w:color w:val="000000"/>
                <w:kern w:val="0"/>
                <w:sz w:val="20"/>
                <w:szCs w:val="20"/>
                <w:lang w:val="en-US" w:eastAsia="zh-CN" w:bidi="ar"/>
              </w:rPr>
              <w:t>/董事长</w:t>
            </w:r>
          </w:p>
        </w:tc>
        <w:tc>
          <w:tcPr>
            <w:tcW w:w="1682" w:type="dxa"/>
            <w:tcBorders>
              <w:top w:val="single" w:color="000000" w:sz="4" w:space="0"/>
              <w:left w:val="single" w:color="000000" w:sz="4" w:space="0"/>
              <w:bottom w:val="single" w:color="000000" w:sz="4" w:space="0"/>
              <w:right w:val="single" w:color="000000" w:sz="4" w:space="0"/>
            </w:tcBorders>
            <w:vAlign w:val="center"/>
          </w:tcPr>
          <w:p w14:paraId="3F018C22">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sz w:val="20"/>
                <w:szCs w:val="20"/>
                <w:lang w:bidi="ar"/>
              </w:rPr>
              <w:t>13956</w:t>
            </w:r>
            <w:r>
              <w:rPr>
                <w:rFonts w:hint="eastAsia" w:ascii="黑体" w:hAnsi="宋体" w:eastAsia="黑体" w:cs="黑体"/>
                <w:color w:val="000000"/>
                <w:sz w:val="20"/>
                <w:szCs w:val="20"/>
                <w:lang w:val="en-US" w:eastAsia="zh-CN" w:bidi="ar"/>
              </w:rPr>
              <w:t>8</w:t>
            </w:r>
            <w:r>
              <w:rPr>
                <w:rFonts w:hint="eastAsia" w:ascii="黑体" w:hAnsi="宋体" w:eastAsia="黑体" w:cs="黑体"/>
                <w:color w:val="000000"/>
                <w:sz w:val="20"/>
                <w:szCs w:val="20"/>
                <w:lang w:bidi="ar"/>
              </w:rPr>
              <w:t>30011</w:t>
            </w:r>
          </w:p>
        </w:tc>
      </w:tr>
      <w:tr w14:paraId="6369118C">
        <w:tblPrEx>
          <w:tblCellMar>
            <w:top w:w="0" w:type="dxa"/>
            <w:left w:w="108" w:type="dxa"/>
            <w:bottom w:w="0" w:type="dxa"/>
            <w:right w:w="108" w:type="dxa"/>
          </w:tblCellMar>
        </w:tblPrEx>
        <w:trPr>
          <w:trHeight w:val="442"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3AE504BA">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sz w:val="20"/>
                <w:szCs w:val="20"/>
                <w:lang w:bidi="ar"/>
              </w:rPr>
              <w:t>郭  勇</w:t>
            </w:r>
          </w:p>
        </w:tc>
        <w:tc>
          <w:tcPr>
            <w:tcW w:w="2935" w:type="dxa"/>
            <w:tcBorders>
              <w:top w:val="single" w:color="000000" w:sz="4" w:space="0"/>
              <w:left w:val="single" w:color="000000" w:sz="4" w:space="0"/>
              <w:bottom w:val="single" w:color="000000" w:sz="4" w:space="0"/>
              <w:right w:val="single" w:color="000000" w:sz="4" w:space="0"/>
            </w:tcBorders>
            <w:vAlign w:val="center"/>
          </w:tcPr>
          <w:p w14:paraId="7EF31C66">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合规委员会主任</w:t>
            </w:r>
          </w:p>
        </w:tc>
        <w:tc>
          <w:tcPr>
            <w:tcW w:w="2529" w:type="dxa"/>
            <w:tcBorders>
              <w:top w:val="single" w:color="000000" w:sz="4" w:space="0"/>
              <w:left w:val="single" w:color="000000" w:sz="4" w:space="0"/>
              <w:bottom w:val="single" w:color="000000" w:sz="4" w:space="0"/>
              <w:right w:val="single" w:color="000000" w:sz="4" w:space="0"/>
            </w:tcBorders>
            <w:vAlign w:val="center"/>
          </w:tcPr>
          <w:p w14:paraId="4F95642C">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副总经理（主持工作）</w:t>
            </w:r>
          </w:p>
        </w:tc>
        <w:tc>
          <w:tcPr>
            <w:tcW w:w="1682" w:type="dxa"/>
            <w:tcBorders>
              <w:top w:val="single" w:color="000000" w:sz="4" w:space="0"/>
              <w:left w:val="single" w:color="000000" w:sz="4" w:space="0"/>
              <w:bottom w:val="single" w:color="000000" w:sz="4" w:space="0"/>
              <w:right w:val="single" w:color="000000" w:sz="4" w:space="0"/>
            </w:tcBorders>
            <w:vAlign w:val="center"/>
          </w:tcPr>
          <w:p w14:paraId="3949E87F">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sz w:val="20"/>
                <w:szCs w:val="20"/>
                <w:lang w:bidi="ar"/>
              </w:rPr>
              <w:t>13955443010</w:t>
            </w:r>
          </w:p>
        </w:tc>
      </w:tr>
      <w:tr w14:paraId="668E900E">
        <w:tblPrEx>
          <w:tblCellMar>
            <w:top w:w="0" w:type="dxa"/>
            <w:left w:w="108" w:type="dxa"/>
            <w:bottom w:w="0" w:type="dxa"/>
            <w:right w:w="108" w:type="dxa"/>
          </w:tblCellMar>
        </w:tblPrEx>
        <w:trPr>
          <w:trHeight w:val="450"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4D3F3BCE">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訾道强</w:t>
            </w:r>
          </w:p>
        </w:tc>
        <w:tc>
          <w:tcPr>
            <w:tcW w:w="2935" w:type="dxa"/>
            <w:tcBorders>
              <w:top w:val="single" w:color="000000" w:sz="4" w:space="0"/>
              <w:left w:val="single" w:color="000000" w:sz="4" w:space="0"/>
              <w:bottom w:val="single" w:color="000000" w:sz="4" w:space="0"/>
              <w:right w:val="single" w:color="000000" w:sz="4" w:space="0"/>
            </w:tcBorders>
            <w:vAlign w:val="center"/>
          </w:tcPr>
          <w:p w14:paraId="0DE63B62">
            <w:pPr>
              <w:widowControl/>
              <w:jc w:val="center"/>
              <w:textAlignment w:val="center"/>
              <w:rPr>
                <w:rFonts w:hint="eastAsia" w:ascii="黑体" w:hAnsi="宋体" w:eastAsia="黑体" w:cs="黑体"/>
                <w:color w:val="000000"/>
                <w:kern w:val="0"/>
                <w:sz w:val="20"/>
                <w:szCs w:val="20"/>
                <w:lang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5480E782">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val="en-US" w:eastAsia="zh-CN" w:bidi="ar"/>
              </w:rPr>
              <w:t>党委副书记/</w:t>
            </w:r>
            <w:r>
              <w:rPr>
                <w:rFonts w:hint="eastAsia" w:ascii="黑体" w:hAnsi="宋体" w:eastAsia="黑体" w:cs="黑体"/>
                <w:color w:val="000000"/>
                <w:kern w:val="0"/>
                <w:sz w:val="20"/>
                <w:szCs w:val="20"/>
                <w:lang w:bidi="ar"/>
              </w:rPr>
              <w:t>纪委书记</w:t>
            </w:r>
          </w:p>
        </w:tc>
        <w:tc>
          <w:tcPr>
            <w:tcW w:w="1682" w:type="dxa"/>
            <w:tcBorders>
              <w:top w:val="single" w:color="000000" w:sz="4" w:space="0"/>
              <w:left w:val="single" w:color="000000" w:sz="4" w:space="0"/>
              <w:bottom w:val="single" w:color="000000" w:sz="4" w:space="0"/>
              <w:right w:val="single" w:color="000000" w:sz="4" w:space="0"/>
            </w:tcBorders>
            <w:vAlign w:val="center"/>
          </w:tcPr>
          <w:p w14:paraId="1DA88F4F">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17330707379</w:t>
            </w:r>
          </w:p>
        </w:tc>
      </w:tr>
      <w:tr w14:paraId="6B2F8DB8">
        <w:tblPrEx>
          <w:tblCellMar>
            <w:top w:w="0" w:type="dxa"/>
            <w:left w:w="108" w:type="dxa"/>
            <w:bottom w:w="0" w:type="dxa"/>
            <w:right w:w="108" w:type="dxa"/>
          </w:tblCellMar>
        </w:tblPrEx>
        <w:trPr>
          <w:trHeight w:val="450"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61024AA7">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陈争</w:t>
            </w:r>
            <w:r>
              <w:rPr>
                <w:rFonts w:hint="eastAsia" w:ascii="黑体" w:hAnsi="宋体" w:eastAsia="黑体" w:cs="黑体"/>
                <w:color w:val="000000"/>
                <w:kern w:val="0"/>
                <w:sz w:val="20"/>
                <w:szCs w:val="20"/>
                <w:lang w:val="en-US" w:eastAsia="zh-CN" w:bidi="ar"/>
              </w:rPr>
              <w:t>峰</w:t>
            </w:r>
          </w:p>
        </w:tc>
        <w:tc>
          <w:tcPr>
            <w:tcW w:w="2935" w:type="dxa"/>
            <w:tcBorders>
              <w:top w:val="single" w:color="000000" w:sz="4" w:space="0"/>
              <w:left w:val="single" w:color="000000" w:sz="4" w:space="0"/>
              <w:bottom w:val="single" w:color="000000" w:sz="4" w:space="0"/>
              <w:right w:val="single" w:color="000000" w:sz="4" w:space="0"/>
            </w:tcBorders>
            <w:vAlign w:val="center"/>
          </w:tcPr>
          <w:p w14:paraId="2FF6C894">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29799C6D">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副总经理</w:t>
            </w:r>
          </w:p>
        </w:tc>
        <w:tc>
          <w:tcPr>
            <w:tcW w:w="1682" w:type="dxa"/>
            <w:tcBorders>
              <w:top w:val="single" w:color="000000" w:sz="4" w:space="0"/>
              <w:left w:val="single" w:color="000000" w:sz="4" w:space="0"/>
              <w:bottom w:val="single" w:color="000000" w:sz="4" w:space="0"/>
              <w:right w:val="single" w:color="000000" w:sz="4" w:space="0"/>
            </w:tcBorders>
            <w:vAlign w:val="center"/>
          </w:tcPr>
          <w:p w14:paraId="023FF891">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13035001879</w:t>
            </w:r>
          </w:p>
        </w:tc>
      </w:tr>
      <w:tr w14:paraId="118DAD1E">
        <w:tblPrEx>
          <w:tblCellMar>
            <w:top w:w="0" w:type="dxa"/>
            <w:left w:w="108" w:type="dxa"/>
            <w:bottom w:w="0" w:type="dxa"/>
            <w:right w:w="108" w:type="dxa"/>
          </w:tblCellMar>
        </w:tblPrEx>
        <w:trPr>
          <w:trHeight w:val="450"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70108A74">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丁亚武</w:t>
            </w:r>
          </w:p>
        </w:tc>
        <w:tc>
          <w:tcPr>
            <w:tcW w:w="2935" w:type="dxa"/>
            <w:tcBorders>
              <w:top w:val="single" w:color="000000" w:sz="4" w:space="0"/>
              <w:left w:val="single" w:color="000000" w:sz="4" w:space="0"/>
              <w:bottom w:val="single" w:color="000000" w:sz="4" w:space="0"/>
              <w:right w:val="single" w:color="000000" w:sz="4" w:space="0"/>
            </w:tcBorders>
            <w:vAlign w:val="center"/>
          </w:tcPr>
          <w:p w14:paraId="459C6F23">
            <w:pPr>
              <w:widowControl/>
              <w:jc w:val="center"/>
              <w:textAlignment w:val="center"/>
              <w:rPr>
                <w:rFonts w:hint="eastAsia" w:ascii="黑体" w:hAnsi="宋体" w:eastAsia="黑体" w:cs="黑体"/>
                <w:color w:val="000000"/>
                <w:kern w:val="0"/>
                <w:sz w:val="20"/>
                <w:szCs w:val="20"/>
                <w:lang w:eastAsia="zh-CN" w:bidi="ar"/>
              </w:rPr>
            </w:pPr>
            <w:r>
              <w:rPr>
                <w:rFonts w:hint="eastAsia" w:ascii="黑体" w:hAnsi="宋体" w:eastAsia="黑体" w:cs="黑体"/>
                <w:color w:val="000000"/>
                <w:kern w:val="0"/>
                <w:sz w:val="20"/>
                <w:szCs w:val="20"/>
                <w:lang w:bidi="ar"/>
              </w:rPr>
              <w:t>合规委员会委员</w:t>
            </w:r>
            <w:r>
              <w:rPr>
                <w:rFonts w:hint="eastAsia" w:ascii="黑体" w:hAnsi="宋体" w:eastAsia="黑体" w:cs="黑体"/>
                <w:color w:val="000000"/>
                <w:kern w:val="0"/>
                <w:sz w:val="20"/>
                <w:szCs w:val="20"/>
                <w:lang w:eastAsia="zh-CN" w:bidi="ar"/>
              </w:rPr>
              <w:t>、</w:t>
            </w:r>
            <w:r>
              <w:rPr>
                <w:rFonts w:hint="eastAsia" w:ascii="黑体" w:hAnsi="宋体" w:eastAsia="黑体" w:cs="黑体"/>
                <w:color w:val="000000"/>
                <w:kern w:val="0"/>
                <w:sz w:val="20"/>
                <w:szCs w:val="20"/>
                <w:lang w:bidi="ar"/>
              </w:rPr>
              <w:t>首席合规官</w:t>
            </w:r>
          </w:p>
        </w:tc>
        <w:tc>
          <w:tcPr>
            <w:tcW w:w="2529" w:type="dxa"/>
            <w:tcBorders>
              <w:top w:val="single" w:color="000000" w:sz="4" w:space="0"/>
              <w:left w:val="single" w:color="000000" w:sz="4" w:space="0"/>
              <w:bottom w:val="single" w:color="000000" w:sz="4" w:space="0"/>
              <w:right w:val="single" w:color="000000" w:sz="4" w:space="0"/>
            </w:tcBorders>
            <w:vAlign w:val="center"/>
          </w:tcPr>
          <w:p w14:paraId="1D607A3E">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副总经理</w:t>
            </w:r>
          </w:p>
        </w:tc>
        <w:tc>
          <w:tcPr>
            <w:tcW w:w="1682" w:type="dxa"/>
            <w:tcBorders>
              <w:top w:val="single" w:color="000000" w:sz="4" w:space="0"/>
              <w:left w:val="single" w:color="000000" w:sz="4" w:space="0"/>
              <w:bottom w:val="single" w:color="000000" w:sz="4" w:space="0"/>
              <w:right w:val="single" w:color="000000" w:sz="4" w:space="0"/>
            </w:tcBorders>
            <w:vAlign w:val="center"/>
          </w:tcPr>
          <w:p w14:paraId="08CBE7F1">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15835749191</w:t>
            </w:r>
          </w:p>
        </w:tc>
      </w:tr>
      <w:tr w14:paraId="456B9107">
        <w:tblPrEx>
          <w:tblCellMar>
            <w:top w:w="0" w:type="dxa"/>
            <w:left w:w="108" w:type="dxa"/>
            <w:bottom w:w="0" w:type="dxa"/>
            <w:right w:w="108" w:type="dxa"/>
          </w:tblCellMar>
        </w:tblPrEx>
        <w:trPr>
          <w:trHeight w:val="450"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756B0920">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余  顺</w:t>
            </w:r>
          </w:p>
        </w:tc>
        <w:tc>
          <w:tcPr>
            <w:tcW w:w="2935" w:type="dxa"/>
            <w:tcBorders>
              <w:top w:val="single" w:color="000000" w:sz="4" w:space="0"/>
              <w:left w:val="single" w:color="000000" w:sz="4" w:space="0"/>
              <w:bottom w:val="single" w:color="000000" w:sz="4" w:space="0"/>
              <w:right w:val="single" w:color="000000" w:sz="4" w:space="0"/>
            </w:tcBorders>
            <w:vAlign w:val="center"/>
          </w:tcPr>
          <w:p w14:paraId="264A0764">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010A4DFD">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总工程师</w:t>
            </w:r>
          </w:p>
        </w:tc>
        <w:tc>
          <w:tcPr>
            <w:tcW w:w="1682" w:type="dxa"/>
            <w:tcBorders>
              <w:top w:val="single" w:color="000000" w:sz="4" w:space="0"/>
              <w:left w:val="single" w:color="000000" w:sz="4" w:space="0"/>
              <w:bottom w:val="single" w:color="000000" w:sz="4" w:space="0"/>
              <w:right w:val="single" w:color="000000" w:sz="4" w:space="0"/>
            </w:tcBorders>
            <w:vAlign w:val="center"/>
          </w:tcPr>
          <w:p w14:paraId="6062B2A0">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18047959912</w:t>
            </w:r>
          </w:p>
        </w:tc>
      </w:tr>
      <w:tr w14:paraId="2AFBA5D7">
        <w:tblPrEx>
          <w:tblCellMar>
            <w:top w:w="0" w:type="dxa"/>
            <w:left w:w="108" w:type="dxa"/>
            <w:bottom w:w="0" w:type="dxa"/>
            <w:right w:w="108" w:type="dxa"/>
          </w:tblCellMar>
        </w:tblPrEx>
        <w:trPr>
          <w:trHeight w:val="450"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1B9F9353">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朱孟茹</w:t>
            </w:r>
          </w:p>
        </w:tc>
        <w:tc>
          <w:tcPr>
            <w:tcW w:w="2935" w:type="dxa"/>
            <w:tcBorders>
              <w:top w:val="single" w:color="000000" w:sz="4" w:space="0"/>
              <w:left w:val="single" w:color="000000" w:sz="4" w:space="0"/>
              <w:bottom w:val="single" w:color="000000" w:sz="4" w:space="0"/>
              <w:right w:val="single" w:color="000000" w:sz="4" w:space="0"/>
            </w:tcBorders>
            <w:vAlign w:val="center"/>
          </w:tcPr>
          <w:p w14:paraId="53E3A11B">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合规办管理员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5EA86D5C">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经管物资部</w:t>
            </w:r>
          </w:p>
        </w:tc>
        <w:tc>
          <w:tcPr>
            <w:tcW w:w="1682" w:type="dxa"/>
            <w:tcBorders>
              <w:top w:val="single" w:color="000000" w:sz="4" w:space="0"/>
              <w:left w:val="single" w:color="000000" w:sz="4" w:space="0"/>
              <w:bottom w:val="single" w:color="000000" w:sz="4" w:space="0"/>
              <w:right w:val="single" w:color="000000" w:sz="4" w:space="0"/>
            </w:tcBorders>
            <w:vAlign w:val="center"/>
          </w:tcPr>
          <w:p w14:paraId="6A0DB593">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15148416123</w:t>
            </w:r>
          </w:p>
        </w:tc>
      </w:tr>
      <w:tr w14:paraId="2B0B62F8">
        <w:tblPrEx>
          <w:tblCellMar>
            <w:top w:w="0" w:type="dxa"/>
            <w:left w:w="108" w:type="dxa"/>
            <w:bottom w:w="0" w:type="dxa"/>
            <w:right w:w="108" w:type="dxa"/>
          </w:tblCellMar>
        </w:tblPrEx>
        <w:trPr>
          <w:trHeight w:val="547"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4BA4904E">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王  锋</w:t>
            </w:r>
          </w:p>
        </w:tc>
        <w:tc>
          <w:tcPr>
            <w:tcW w:w="2935" w:type="dxa"/>
            <w:tcBorders>
              <w:top w:val="single" w:color="000000" w:sz="4" w:space="0"/>
              <w:left w:val="single" w:color="000000" w:sz="4" w:space="0"/>
              <w:bottom w:val="single" w:color="000000" w:sz="4" w:space="0"/>
              <w:right w:val="single" w:color="000000" w:sz="4" w:space="0"/>
            </w:tcBorders>
            <w:vAlign w:val="center"/>
          </w:tcPr>
          <w:p w14:paraId="0340E08C">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合规委员会委员（负责日常工作联系、会议组织等事宜）</w:t>
            </w:r>
          </w:p>
        </w:tc>
        <w:tc>
          <w:tcPr>
            <w:tcW w:w="2529" w:type="dxa"/>
            <w:tcBorders>
              <w:top w:val="single" w:color="000000" w:sz="4" w:space="0"/>
              <w:left w:val="single" w:color="000000" w:sz="4" w:space="0"/>
              <w:bottom w:val="single" w:color="000000" w:sz="4" w:space="0"/>
              <w:right w:val="single" w:color="000000" w:sz="4" w:space="0"/>
            </w:tcBorders>
            <w:vAlign w:val="center"/>
          </w:tcPr>
          <w:p w14:paraId="6AF31706">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综合部部长</w:t>
            </w:r>
          </w:p>
        </w:tc>
        <w:tc>
          <w:tcPr>
            <w:tcW w:w="1682" w:type="dxa"/>
            <w:tcBorders>
              <w:top w:val="single" w:color="000000" w:sz="4" w:space="0"/>
              <w:left w:val="single" w:color="000000" w:sz="4" w:space="0"/>
              <w:bottom w:val="single" w:color="000000" w:sz="4" w:space="0"/>
              <w:right w:val="single" w:color="000000" w:sz="4" w:space="0"/>
            </w:tcBorders>
            <w:vAlign w:val="center"/>
          </w:tcPr>
          <w:p w14:paraId="18525ECB">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19012632769</w:t>
            </w:r>
          </w:p>
        </w:tc>
      </w:tr>
      <w:tr w14:paraId="140ADD84">
        <w:tblPrEx>
          <w:tblCellMar>
            <w:top w:w="0" w:type="dxa"/>
            <w:left w:w="108" w:type="dxa"/>
            <w:bottom w:w="0" w:type="dxa"/>
            <w:right w:w="108" w:type="dxa"/>
          </w:tblCellMar>
        </w:tblPrEx>
        <w:trPr>
          <w:trHeight w:val="547"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25C8">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卢  军</w:t>
            </w:r>
          </w:p>
        </w:tc>
        <w:tc>
          <w:tcPr>
            <w:tcW w:w="2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0D74">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EAE3">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副总工程师兼设备管理部部长</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C7A1">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15134861572</w:t>
            </w:r>
          </w:p>
        </w:tc>
      </w:tr>
      <w:tr w14:paraId="3B380B41">
        <w:tblPrEx>
          <w:tblCellMar>
            <w:top w:w="0" w:type="dxa"/>
            <w:left w:w="108" w:type="dxa"/>
            <w:bottom w:w="0" w:type="dxa"/>
            <w:right w:w="108" w:type="dxa"/>
          </w:tblCellMar>
        </w:tblPrEx>
        <w:trPr>
          <w:trHeight w:val="547"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FC47">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武云飞</w:t>
            </w:r>
          </w:p>
        </w:tc>
        <w:tc>
          <w:tcPr>
            <w:tcW w:w="2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7942">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r>
              <w:rPr>
                <w:rFonts w:hint="eastAsia" w:ascii="黑体" w:hAnsi="宋体" w:eastAsia="黑体" w:cs="黑体"/>
                <w:color w:val="000000"/>
                <w:kern w:val="0"/>
                <w:sz w:val="20"/>
                <w:szCs w:val="20"/>
                <w:lang w:eastAsia="zh-CN" w:bidi="ar"/>
              </w:rPr>
              <w:t>、</w:t>
            </w:r>
            <w:r>
              <w:rPr>
                <w:rFonts w:hint="eastAsia" w:ascii="黑体" w:hAnsi="宋体" w:eastAsia="黑体" w:cs="黑体"/>
                <w:color w:val="000000"/>
                <w:kern w:val="0"/>
                <w:sz w:val="20"/>
                <w:szCs w:val="20"/>
                <w:lang w:val="en-US" w:eastAsia="zh-CN" w:bidi="ar"/>
              </w:rPr>
              <w:t>合规</w:t>
            </w:r>
            <w:r>
              <w:rPr>
                <w:rFonts w:hint="eastAsia" w:ascii="黑体" w:hAnsi="宋体" w:eastAsia="黑体" w:cs="黑体"/>
                <w:color w:val="000000"/>
                <w:kern w:val="0"/>
                <w:sz w:val="20"/>
                <w:szCs w:val="20"/>
                <w:lang w:bidi="ar"/>
              </w:rPr>
              <w:t>管理员</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C73C">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副总经济师兼经管物资部部长</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5D0B">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13966154366</w:t>
            </w:r>
          </w:p>
        </w:tc>
      </w:tr>
      <w:tr w14:paraId="3313581D">
        <w:tblPrEx>
          <w:tblCellMar>
            <w:top w:w="0" w:type="dxa"/>
            <w:left w:w="108" w:type="dxa"/>
            <w:bottom w:w="0" w:type="dxa"/>
            <w:right w:w="108" w:type="dxa"/>
          </w:tblCellMar>
        </w:tblPrEx>
        <w:trPr>
          <w:trHeight w:val="547"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A583">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陈方悟</w:t>
            </w:r>
          </w:p>
        </w:tc>
        <w:tc>
          <w:tcPr>
            <w:tcW w:w="2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D4FC">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FCBB">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副总工程师兼安全监管部部长</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75BD">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18655487653</w:t>
            </w:r>
          </w:p>
        </w:tc>
      </w:tr>
      <w:tr w14:paraId="4724DF5E">
        <w:tblPrEx>
          <w:tblCellMar>
            <w:top w:w="0" w:type="dxa"/>
            <w:left w:w="108" w:type="dxa"/>
            <w:bottom w:w="0" w:type="dxa"/>
            <w:right w:w="108" w:type="dxa"/>
          </w:tblCellMar>
        </w:tblPrEx>
        <w:trPr>
          <w:trHeight w:val="547"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E33B">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陈四华</w:t>
            </w:r>
          </w:p>
        </w:tc>
        <w:tc>
          <w:tcPr>
            <w:tcW w:w="2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2BCB">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6771">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生产技术部部长</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406F">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15655425588</w:t>
            </w:r>
          </w:p>
        </w:tc>
      </w:tr>
      <w:tr w14:paraId="5887DEF2">
        <w:tblPrEx>
          <w:tblCellMar>
            <w:top w:w="0" w:type="dxa"/>
            <w:left w:w="108" w:type="dxa"/>
            <w:bottom w:w="0" w:type="dxa"/>
            <w:right w:w="108" w:type="dxa"/>
          </w:tblCellMar>
        </w:tblPrEx>
        <w:trPr>
          <w:trHeight w:val="547"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928F">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吕彩利</w:t>
            </w:r>
          </w:p>
        </w:tc>
        <w:tc>
          <w:tcPr>
            <w:tcW w:w="2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02B7F">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A623">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人力资源部</w:t>
            </w:r>
            <w:r>
              <w:rPr>
                <w:rFonts w:hint="eastAsia" w:ascii="黑体" w:hAnsi="宋体" w:eastAsia="黑体" w:cs="黑体"/>
                <w:color w:val="000000"/>
                <w:kern w:val="0"/>
                <w:sz w:val="20"/>
                <w:szCs w:val="20"/>
                <w:lang w:eastAsia="zh-CN" w:bidi="ar"/>
              </w:rPr>
              <w:t>（</w:t>
            </w:r>
            <w:r>
              <w:rPr>
                <w:rFonts w:hint="eastAsia" w:ascii="黑体" w:hAnsi="宋体" w:eastAsia="黑体" w:cs="黑体"/>
                <w:color w:val="000000"/>
                <w:kern w:val="0"/>
                <w:sz w:val="20"/>
                <w:szCs w:val="20"/>
                <w:lang w:val="en-US" w:eastAsia="zh-CN" w:bidi="ar"/>
              </w:rPr>
              <w:t>党群部</w:t>
            </w:r>
            <w:r>
              <w:rPr>
                <w:rFonts w:hint="eastAsia" w:ascii="黑体" w:hAnsi="宋体" w:eastAsia="黑体" w:cs="黑体"/>
                <w:color w:val="000000"/>
                <w:kern w:val="0"/>
                <w:sz w:val="20"/>
                <w:szCs w:val="20"/>
                <w:lang w:eastAsia="zh-CN" w:bidi="ar"/>
              </w:rPr>
              <w:t>）</w:t>
            </w:r>
            <w:r>
              <w:rPr>
                <w:rFonts w:hint="eastAsia" w:ascii="黑体" w:hAnsi="宋体" w:eastAsia="黑体" w:cs="黑体"/>
                <w:color w:val="000000"/>
                <w:kern w:val="0"/>
                <w:sz w:val="20"/>
                <w:szCs w:val="20"/>
                <w:lang w:bidi="ar"/>
              </w:rPr>
              <w:t>部长</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6CCE">
            <w:pPr>
              <w:widowControl/>
              <w:jc w:val="center"/>
              <w:textAlignment w:val="center"/>
              <w:rPr>
                <w:rFonts w:hint="default"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val="en-US" w:eastAsia="zh-CN" w:bidi="ar"/>
              </w:rPr>
              <w:t>15047700008</w:t>
            </w:r>
          </w:p>
        </w:tc>
      </w:tr>
      <w:tr w14:paraId="1BF79645">
        <w:tblPrEx>
          <w:tblCellMar>
            <w:top w:w="0" w:type="dxa"/>
            <w:left w:w="108" w:type="dxa"/>
            <w:bottom w:w="0" w:type="dxa"/>
            <w:right w:w="108" w:type="dxa"/>
          </w:tblCellMar>
        </w:tblPrEx>
        <w:trPr>
          <w:trHeight w:val="456" w:hRule="atLeast"/>
          <w:jc w:val="center"/>
        </w:trPr>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6D6A">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val="en-US" w:eastAsia="zh-CN" w:bidi="ar"/>
              </w:rPr>
              <w:t>霍爱会</w:t>
            </w:r>
          </w:p>
        </w:tc>
        <w:tc>
          <w:tcPr>
            <w:tcW w:w="2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5040">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91CC">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val="en-US" w:eastAsia="zh-CN" w:bidi="ar"/>
              </w:rPr>
              <w:t>纪委副书记</w:t>
            </w:r>
          </w:p>
        </w:tc>
        <w:tc>
          <w:tcPr>
            <w:tcW w:w="1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208D">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val="en-US" w:eastAsia="zh-CN" w:bidi="ar"/>
              </w:rPr>
              <w:t>13956482069</w:t>
            </w:r>
          </w:p>
        </w:tc>
      </w:tr>
      <w:tr w14:paraId="622E9AB6">
        <w:tblPrEx>
          <w:tblCellMar>
            <w:top w:w="0" w:type="dxa"/>
            <w:left w:w="108" w:type="dxa"/>
            <w:bottom w:w="0" w:type="dxa"/>
            <w:right w:w="108" w:type="dxa"/>
          </w:tblCellMar>
        </w:tblPrEx>
        <w:trPr>
          <w:trHeight w:val="456"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080DA370">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韩  涛</w:t>
            </w:r>
          </w:p>
        </w:tc>
        <w:tc>
          <w:tcPr>
            <w:tcW w:w="2935" w:type="dxa"/>
            <w:tcBorders>
              <w:top w:val="single" w:color="000000" w:sz="4" w:space="0"/>
              <w:left w:val="single" w:color="000000" w:sz="4" w:space="0"/>
              <w:bottom w:val="single" w:color="000000" w:sz="4" w:space="0"/>
              <w:right w:val="single" w:color="000000" w:sz="4" w:space="0"/>
            </w:tcBorders>
            <w:vAlign w:val="center"/>
          </w:tcPr>
          <w:p w14:paraId="0E43B5F0">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56A77F25">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eastAsia="zh-CN" w:bidi="ar"/>
              </w:rPr>
              <w:t>调度指挥中心</w:t>
            </w:r>
            <w:r>
              <w:rPr>
                <w:rFonts w:hint="eastAsia" w:ascii="黑体" w:hAnsi="宋体" w:eastAsia="黑体" w:cs="黑体"/>
                <w:color w:val="000000"/>
                <w:kern w:val="0"/>
                <w:sz w:val="20"/>
                <w:szCs w:val="20"/>
                <w:lang w:bidi="ar"/>
              </w:rPr>
              <w:t>主任</w:t>
            </w:r>
          </w:p>
        </w:tc>
        <w:tc>
          <w:tcPr>
            <w:tcW w:w="1682" w:type="dxa"/>
            <w:tcBorders>
              <w:top w:val="single" w:color="000000" w:sz="4" w:space="0"/>
              <w:left w:val="single" w:color="000000" w:sz="4" w:space="0"/>
              <w:bottom w:val="single" w:color="000000" w:sz="4" w:space="0"/>
              <w:right w:val="single" w:color="000000" w:sz="4" w:space="0"/>
            </w:tcBorders>
            <w:vAlign w:val="center"/>
          </w:tcPr>
          <w:p w14:paraId="1F1E22ED">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17792076160</w:t>
            </w:r>
          </w:p>
        </w:tc>
      </w:tr>
      <w:tr w14:paraId="17E2C30C">
        <w:tblPrEx>
          <w:tblCellMar>
            <w:top w:w="0" w:type="dxa"/>
            <w:left w:w="108" w:type="dxa"/>
            <w:bottom w:w="0" w:type="dxa"/>
            <w:right w:w="108" w:type="dxa"/>
          </w:tblCellMar>
        </w:tblPrEx>
        <w:trPr>
          <w:trHeight w:val="456"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069B2375">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毛明礼</w:t>
            </w:r>
          </w:p>
        </w:tc>
        <w:tc>
          <w:tcPr>
            <w:tcW w:w="2935" w:type="dxa"/>
            <w:tcBorders>
              <w:top w:val="single" w:color="000000" w:sz="4" w:space="0"/>
              <w:left w:val="single" w:color="000000" w:sz="4" w:space="0"/>
              <w:bottom w:val="single" w:color="000000" w:sz="4" w:space="0"/>
              <w:right w:val="single" w:color="000000" w:sz="4" w:space="0"/>
            </w:tcBorders>
            <w:vAlign w:val="center"/>
          </w:tcPr>
          <w:p w14:paraId="08ABF3E2">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47B7D74E">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销售采购部部长</w:t>
            </w:r>
          </w:p>
        </w:tc>
        <w:tc>
          <w:tcPr>
            <w:tcW w:w="1682" w:type="dxa"/>
            <w:tcBorders>
              <w:top w:val="single" w:color="000000" w:sz="4" w:space="0"/>
              <w:left w:val="single" w:color="000000" w:sz="4" w:space="0"/>
              <w:bottom w:val="single" w:color="000000" w:sz="4" w:space="0"/>
              <w:right w:val="single" w:color="000000" w:sz="4" w:space="0"/>
            </w:tcBorders>
            <w:vAlign w:val="center"/>
          </w:tcPr>
          <w:p w14:paraId="07D1D4F0">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15505548280</w:t>
            </w:r>
          </w:p>
        </w:tc>
      </w:tr>
      <w:tr w14:paraId="20EF7AD4">
        <w:tblPrEx>
          <w:tblCellMar>
            <w:top w:w="0" w:type="dxa"/>
            <w:left w:w="108" w:type="dxa"/>
            <w:bottom w:w="0" w:type="dxa"/>
            <w:right w:w="108" w:type="dxa"/>
          </w:tblCellMar>
        </w:tblPrEx>
        <w:trPr>
          <w:trHeight w:val="456" w:hRule="atLeast"/>
          <w:jc w:val="center"/>
        </w:trPr>
        <w:tc>
          <w:tcPr>
            <w:tcW w:w="1099" w:type="dxa"/>
            <w:tcBorders>
              <w:top w:val="single" w:color="000000" w:sz="4" w:space="0"/>
              <w:left w:val="single" w:color="000000" w:sz="4" w:space="0"/>
              <w:bottom w:val="single" w:color="000000" w:sz="4" w:space="0"/>
              <w:right w:val="single" w:color="000000" w:sz="4" w:space="0"/>
            </w:tcBorders>
            <w:vAlign w:val="center"/>
          </w:tcPr>
          <w:p w14:paraId="623ADF5A">
            <w:pPr>
              <w:widowControl/>
              <w:jc w:val="center"/>
              <w:textAlignment w:val="center"/>
              <w:rPr>
                <w:rFonts w:hint="eastAsia" w:ascii="黑体" w:hAnsi="宋体" w:eastAsia="黑体" w:cs="黑体"/>
                <w:color w:val="000000"/>
                <w:kern w:val="0"/>
                <w:sz w:val="20"/>
                <w:szCs w:val="20"/>
                <w:lang w:val="en-US" w:eastAsia="zh-CN" w:bidi="ar"/>
              </w:rPr>
            </w:pPr>
            <w:r>
              <w:rPr>
                <w:rFonts w:hint="eastAsia" w:ascii="黑体" w:hAnsi="宋体" w:eastAsia="黑体" w:cs="黑体"/>
                <w:color w:val="000000"/>
                <w:kern w:val="0"/>
                <w:sz w:val="20"/>
                <w:szCs w:val="20"/>
                <w:lang w:bidi="ar"/>
              </w:rPr>
              <w:t xml:space="preserve">韩  </w:t>
            </w:r>
            <w:r>
              <w:rPr>
                <w:rFonts w:hint="eastAsia" w:ascii="黑体" w:hAnsi="宋体" w:eastAsia="黑体" w:cs="黑体"/>
                <w:color w:val="000000"/>
                <w:kern w:val="0"/>
                <w:sz w:val="20"/>
                <w:szCs w:val="20"/>
                <w:lang w:val="en-US" w:eastAsia="zh-CN" w:bidi="ar"/>
              </w:rPr>
              <w:t>轲</w:t>
            </w:r>
          </w:p>
        </w:tc>
        <w:tc>
          <w:tcPr>
            <w:tcW w:w="2935" w:type="dxa"/>
            <w:tcBorders>
              <w:top w:val="single" w:color="000000" w:sz="4" w:space="0"/>
              <w:left w:val="single" w:color="000000" w:sz="4" w:space="0"/>
              <w:bottom w:val="single" w:color="000000" w:sz="4" w:space="0"/>
              <w:right w:val="single" w:color="000000" w:sz="4" w:space="0"/>
            </w:tcBorders>
            <w:vAlign w:val="center"/>
          </w:tcPr>
          <w:p w14:paraId="07976288">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合规委员会委员</w:t>
            </w:r>
          </w:p>
        </w:tc>
        <w:tc>
          <w:tcPr>
            <w:tcW w:w="2529" w:type="dxa"/>
            <w:tcBorders>
              <w:top w:val="single" w:color="000000" w:sz="4" w:space="0"/>
              <w:left w:val="single" w:color="000000" w:sz="4" w:space="0"/>
              <w:bottom w:val="single" w:color="000000" w:sz="4" w:space="0"/>
              <w:right w:val="single" w:color="000000" w:sz="4" w:space="0"/>
            </w:tcBorders>
            <w:vAlign w:val="center"/>
          </w:tcPr>
          <w:p w14:paraId="55AB9EEC">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财务部部长</w:t>
            </w:r>
          </w:p>
        </w:tc>
        <w:tc>
          <w:tcPr>
            <w:tcW w:w="1682" w:type="dxa"/>
            <w:tcBorders>
              <w:top w:val="single" w:color="000000" w:sz="4" w:space="0"/>
              <w:left w:val="single" w:color="000000" w:sz="4" w:space="0"/>
              <w:bottom w:val="single" w:color="000000" w:sz="4" w:space="0"/>
              <w:right w:val="single" w:color="000000" w:sz="4" w:space="0"/>
            </w:tcBorders>
            <w:vAlign w:val="center"/>
          </w:tcPr>
          <w:p w14:paraId="7DC59B9B">
            <w:pPr>
              <w:widowControl/>
              <w:jc w:val="center"/>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17775068800</w:t>
            </w:r>
          </w:p>
        </w:tc>
      </w:tr>
    </w:tbl>
    <w:p w14:paraId="011B4550">
      <w:pPr>
        <w:widowControl/>
        <w:ind w:firstLine="400" w:firstLineChars="200"/>
        <w:jc w:val="left"/>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依据西北能化公司办〔2022年〕124号合规实施细则和西北能化公司办〔2022年〕134号合规委员会议事规则等条款规定编制。</w:t>
      </w:r>
    </w:p>
    <w:p w14:paraId="0E3EB388">
      <w:pPr>
        <w:widowControl/>
        <w:ind w:firstLine="400" w:firstLineChars="200"/>
        <w:jc w:val="left"/>
        <w:textAlignment w:val="center"/>
        <w:rPr>
          <w:rFonts w:hint="eastAsia" w:ascii="黑体" w:hAnsi="宋体" w:eastAsia="黑体" w:cs="黑体"/>
          <w:color w:val="000000"/>
          <w:kern w:val="0"/>
          <w:sz w:val="20"/>
          <w:szCs w:val="20"/>
          <w:lang w:bidi="ar"/>
        </w:rPr>
      </w:pPr>
      <w:r>
        <w:rPr>
          <w:rFonts w:hint="eastAsia" w:ascii="黑体" w:hAnsi="宋体" w:eastAsia="黑体" w:cs="黑体"/>
          <w:color w:val="000000"/>
          <w:kern w:val="0"/>
          <w:sz w:val="20"/>
          <w:szCs w:val="20"/>
          <w:lang w:bidi="ar"/>
        </w:rPr>
        <w:t>依据皖北煤电集团有限公司干任免[2025]13号经研究“丁亚武任西北能化公司首席合规官”编制。</w:t>
      </w:r>
    </w:p>
    <w:p w14:paraId="167A14FE">
      <w:pPr>
        <w:widowControl/>
        <w:jc w:val="left"/>
        <w:textAlignment w:val="center"/>
        <w:rPr>
          <w:rFonts w:hint="eastAsia" w:ascii="黑体" w:hAnsi="宋体" w:eastAsia="黑体" w:cs="黑体"/>
          <w:color w:val="000000"/>
          <w:kern w:val="0"/>
          <w:sz w:val="20"/>
          <w:szCs w:val="20"/>
          <w:lang w:bidi="ar"/>
        </w:rPr>
      </w:pPr>
    </w:p>
    <w:p w14:paraId="6484162C">
      <w:pPr>
        <w:spacing w:line="360" w:lineRule="exact"/>
        <w:jc w:val="center"/>
        <w:rPr>
          <w:rFonts w:hint="eastAsia" w:ascii="黑体" w:hAnsi="黑体" w:eastAsia="黑体"/>
          <w:sz w:val="32"/>
          <w:szCs w:val="32"/>
        </w:rPr>
      </w:pPr>
    </w:p>
    <w:p w14:paraId="10F32152">
      <w:pPr>
        <w:spacing w:line="360" w:lineRule="exact"/>
        <w:jc w:val="center"/>
        <w:rPr>
          <w:rFonts w:hint="eastAsia" w:ascii="黑体" w:hAnsi="黑体" w:eastAsia="黑体"/>
          <w:sz w:val="32"/>
          <w:szCs w:val="32"/>
        </w:rPr>
      </w:pPr>
    </w:p>
    <w:p w14:paraId="11C90FA4">
      <w:pPr>
        <w:spacing w:line="360" w:lineRule="exact"/>
        <w:jc w:val="center"/>
        <w:rPr>
          <w:rFonts w:hint="eastAsia" w:ascii="黑体" w:hAnsi="黑体" w:eastAsia="黑体"/>
          <w:sz w:val="32"/>
          <w:szCs w:val="32"/>
        </w:rPr>
      </w:pPr>
    </w:p>
    <w:p w14:paraId="2715219B">
      <w:pPr>
        <w:spacing w:line="360" w:lineRule="exact"/>
        <w:jc w:val="center"/>
        <w:rPr>
          <w:rFonts w:hint="eastAsia" w:ascii="黑体" w:hAnsi="黑体" w:eastAsia="黑体"/>
          <w:sz w:val="32"/>
          <w:szCs w:val="32"/>
        </w:rPr>
      </w:pPr>
    </w:p>
    <w:p w14:paraId="06F59593">
      <w:pPr>
        <w:spacing w:line="360" w:lineRule="exact"/>
        <w:jc w:val="center"/>
        <w:rPr>
          <w:rFonts w:hint="eastAsia" w:ascii="黑体" w:hAnsi="黑体" w:eastAsia="黑体"/>
          <w:sz w:val="32"/>
          <w:szCs w:val="32"/>
        </w:rPr>
      </w:pPr>
    </w:p>
    <w:p w14:paraId="31549A8E">
      <w:pPr>
        <w:spacing w:line="360" w:lineRule="exact"/>
        <w:jc w:val="center"/>
        <w:rPr>
          <w:rFonts w:hint="eastAsia" w:ascii="黑体" w:hAnsi="黑体" w:eastAsia="黑体"/>
          <w:sz w:val="32"/>
          <w:szCs w:val="32"/>
        </w:rPr>
      </w:pPr>
    </w:p>
    <w:p w14:paraId="7F759D13">
      <w:pPr>
        <w:spacing w:line="360" w:lineRule="exact"/>
        <w:jc w:val="center"/>
        <w:rPr>
          <w:rFonts w:hint="eastAsia" w:ascii="黑体" w:hAnsi="黑体" w:eastAsia="黑体"/>
          <w:sz w:val="32"/>
          <w:szCs w:val="32"/>
        </w:rPr>
      </w:pPr>
    </w:p>
    <w:p w14:paraId="5A5209EC">
      <w:pPr>
        <w:spacing w:line="360" w:lineRule="exact"/>
        <w:jc w:val="center"/>
        <w:rPr>
          <w:rFonts w:hint="eastAsia" w:ascii="黑体" w:hAnsi="黑体" w:eastAsia="黑体"/>
          <w:sz w:val="32"/>
          <w:szCs w:val="32"/>
        </w:rPr>
      </w:pPr>
      <w:r>
        <w:rPr>
          <w:rFonts w:hint="eastAsia" w:ascii="黑体" w:hAnsi="黑体" w:eastAsia="黑体"/>
          <w:sz w:val="32"/>
          <w:szCs w:val="32"/>
        </w:rPr>
        <w:t>西北能化公司各部门合规管理员情况表</w:t>
      </w:r>
    </w:p>
    <w:p w14:paraId="18539959">
      <w:pPr>
        <w:spacing w:line="360" w:lineRule="exact"/>
        <w:ind w:firstLine="1600" w:firstLineChars="500"/>
        <w:jc w:val="left"/>
        <w:rPr>
          <w:rFonts w:hint="eastAsia" w:ascii="黑体" w:hAnsi="黑体" w:eastAsia="黑体"/>
          <w:sz w:val="32"/>
          <w:szCs w:val="32"/>
        </w:rPr>
      </w:pPr>
      <w:r>
        <w:rPr>
          <w:rFonts w:hint="eastAsia" w:ascii="黑体" w:hAnsi="黑体" w:eastAsia="黑体"/>
          <w:sz w:val="32"/>
          <w:szCs w:val="32"/>
        </w:rPr>
        <w:t xml:space="preserve"> </w:t>
      </w:r>
    </w:p>
    <w:tbl>
      <w:tblPr>
        <w:tblStyle w:val="10"/>
        <w:tblW w:w="6771" w:type="dxa"/>
        <w:jc w:val="center"/>
        <w:tblLayout w:type="autofit"/>
        <w:tblCellMar>
          <w:top w:w="0" w:type="dxa"/>
          <w:left w:w="108" w:type="dxa"/>
          <w:bottom w:w="0" w:type="dxa"/>
          <w:right w:w="108" w:type="dxa"/>
        </w:tblCellMar>
      </w:tblPr>
      <w:tblGrid>
        <w:gridCol w:w="1539"/>
        <w:gridCol w:w="1748"/>
        <w:gridCol w:w="1919"/>
        <w:gridCol w:w="1565"/>
      </w:tblGrid>
      <w:tr w14:paraId="5CB0DDE9">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5A2EB369">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lang w:bidi="ar"/>
              </w:rPr>
              <w:t>部  门</w:t>
            </w:r>
          </w:p>
        </w:tc>
        <w:tc>
          <w:tcPr>
            <w:tcW w:w="1748" w:type="dxa"/>
            <w:tcBorders>
              <w:top w:val="single" w:color="000000" w:sz="4" w:space="0"/>
              <w:left w:val="single" w:color="000000" w:sz="4" w:space="0"/>
              <w:bottom w:val="single" w:color="000000" w:sz="4" w:space="0"/>
              <w:right w:val="single" w:color="000000" w:sz="4" w:space="0"/>
            </w:tcBorders>
            <w:vAlign w:val="center"/>
          </w:tcPr>
          <w:p w14:paraId="4CA5B94E">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kern w:val="0"/>
                <w:sz w:val="20"/>
                <w:szCs w:val="20"/>
                <w:lang w:bidi="ar"/>
              </w:rPr>
              <w:t>业务部门合规管理人员</w:t>
            </w:r>
          </w:p>
        </w:tc>
        <w:tc>
          <w:tcPr>
            <w:tcW w:w="1919" w:type="dxa"/>
            <w:tcBorders>
              <w:top w:val="single" w:color="000000" w:sz="4" w:space="0"/>
              <w:left w:val="single" w:color="000000" w:sz="4" w:space="0"/>
              <w:bottom w:val="single" w:color="000000" w:sz="4" w:space="0"/>
              <w:right w:val="single" w:color="000000" w:sz="4" w:space="0"/>
            </w:tcBorders>
            <w:vAlign w:val="center"/>
          </w:tcPr>
          <w:p w14:paraId="28BF3568">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sz w:val="20"/>
                <w:szCs w:val="20"/>
              </w:rPr>
              <w:t>联系电话</w:t>
            </w:r>
          </w:p>
        </w:tc>
        <w:tc>
          <w:tcPr>
            <w:tcW w:w="1565" w:type="dxa"/>
            <w:tcBorders>
              <w:top w:val="single" w:color="000000" w:sz="4" w:space="0"/>
              <w:left w:val="single" w:color="000000" w:sz="4" w:space="0"/>
              <w:bottom w:val="single" w:color="000000" w:sz="4" w:space="0"/>
              <w:right w:val="single" w:color="000000" w:sz="4" w:space="0"/>
            </w:tcBorders>
            <w:vAlign w:val="center"/>
          </w:tcPr>
          <w:p w14:paraId="4A70992B">
            <w:pPr>
              <w:widowControl/>
              <w:jc w:val="center"/>
              <w:textAlignment w:val="center"/>
              <w:rPr>
                <w:rFonts w:hint="eastAsia" w:ascii="黑体" w:hAnsi="宋体" w:eastAsia="黑体" w:cs="黑体"/>
                <w:color w:val="000000"/>
                <w:sz w:val="20"/>
                <w:szCs w:val="20"/>
              </w:rPr>
            </w:pPr>
            <w:r>
              <w:rPr>
                <w:rFonts w:hint="eastAsia" w:ascii="黑体" w:hAnsi="宋体" w:eastAsia="黑体" w:cs="黑体"/>
                <w:color w:val="000000"/>
                <w:sz w:val="20"/>
                <w:szCs w:val="20"/>
              </w:rPr>
              <w:t>备注</w:t>
            </w:r>
          </w:p>
        </w:tc>
      </w:tr>
      <w:tr w14:paraId="3C082E77">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083E24F1">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经管物资部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531BD73D">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朱孟茹</w:t>
            </w:r>
          </w:p>
        </w:tc>
        <w:tc>
          <w:tcPr>
            <w:tcW w:w="1919" w:type="dxa"/>
            <w:tcBorders>
              <w:top w:val="single" w:color="000000" w:sz="4" w:space="0"/>
              <w:left w:val="single" w:color="000000" w:sz="4" w:space="0"/>
              <w:bottom w:val="single" w:color="000000" w:sz="4" w:space="0"/>
              <w:right w:val="single" w:color="000000" w:sz="4" w:space="0"/>
            </w:tcBorders>
            <w:vAlign w:val="center"/>
          </w:tcPr>
          <w:p w14:paraId="6F6E6E7C">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15148416123</w:t>
            </w:r>
          </w:p>
        </w:tc>
        <w:tc>
          <w:tcPr>
            <w:tcW w:w="1565" w:type="dxa"/>
            <w:tcBorders>
              <w:top w:val="single" w:color="000000" w:sz="4" w:space="0"/>
              <w:left w:val="single" w:color="000000" w:sz="4" w:space="0"/>
              <w:bottom w:val="single" w:color="000000" w:sz="4" w:space="0"/>
              <w:right w:val="single" w:color="000000" w:sz="4" w:space="0"/>
            </w:tcBorders>
            <w:vAlign w:val="center"/>
          </w:tcPr>
          <w:p w14:paraId="7A918780">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经管物资部</w:t>
            </w:r>
          </w:p>
        </w:tc>
      </w:tr>
      <w:tr w14:paraId="3A8DE053">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20EB538A">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安全监管部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7EF09378">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刘初寒</w:t>
            </w:r>
          </w:p>
        </w:tc>
        <w:tc>
          <w:tcPr>
            <w:tcW w:w="1919" w:type="dxa"/>
            <w:tcBorders>
              <w:top w:val="single" w:color="000000" w:sz="4" w:space="0"/>
              <w:left w:val="single" w:color="000000" w:sz="4" w:space="0"/>
              <w:bottom w:val="single" w:color="000000" w:sz="4" w:space="0"/>
              <w:right w:val="single" w:color="000000" w:sz="4" w:space="0"/>
            </w:tcBorders>
            <w:vAlign w:val="center"/>
          </w:tcPr>
          <w:p w14:paraId="03D0F595">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18209569138</w:t>
            </w:r>
          </w:p>
        </w:tc>
        <w:tc>
          <w:tcPr>
            <w:tcW w:w="1565" w:type="dxa"/>
            <w:tcBorders>
              <w:top w:val="single" w:color="000000" w:sz="4" w:space="0"/>
              <w:left w:val="single" w:color="000000" w:sz="4" w:space="0"/>
              <w:bottom w:val="single" w:color="000000" w:sz="4" w:space="0"/>
              <w:right w:val="single" w:color="000000" w:sz="4" w:space="0"/>
            </w:tcBorders>
            <w:vAlign w:val="center"/>
          </w:tcPr>
          <w:p w14:paraId="026A13FF">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安全监管部</w:t>
            </w:r>
          </w:p>
        </w:tc>
      </w:tr>
      <w:tr w14:paraId="6D47F9EA">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6FE39CF4">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设备</w:t>
            </w:r>
            <w:r>
              <w:rPr>
                <w:rStyle w:val="25"/>
                <w:rFonts w:hint="eastAsia"/>
                <w:lang w:val="en-US" w:eastAsia="zh-CN" w:bidi="ar"/>
              </w:rPr>
              <w:t>管理</w:t>
            </w:r>
            <w:r>
              <w:rPr>
                <w:rStyle w:val="25"/>
                <w:lang w:val="en-US" w:eastAsia="zh-CN" w:bidi="ar"/>
              </w:rPr>
              <w:t>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0A093474">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陈献军</w:t>
            </w:r>
          </w:p>
        </w:tc>
        <w:tc>
          <w:tcPr>
            <w:tcW w:w="1919" w:type="dxa"/>
            <w:tcBorders>
              <w:top w:val="single" w:color="000000" w:sz="4" w:space="0"/>
              <w:left w:val="single" w:color="000000" w:sz="4" w:space="0"/>
              <w:bottom w:val="single" w:color="000000" w:sz="4" w:space="0"/>
              <w:right w:val="single" w:color="000000" w:sz="4" w:space="0"/>
            </w:tcBorders>
            <w:vAlign w:val="center"/>
          </w:tcPr>
          <w:p w14:paraId="675D5695">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13955458828</w:t>
            </w:r>
          </w:p>
        </w:tc>
        <w:tc>
          <w:tcPr>
            <w:tcW w:w="1565" w:type="dxa"/>
            <w:tcBorders>
              <w:top w:val="single" w:color="000000" w:sz="4" w:space="0"/>
              <w:left w:val="single" w:color="000000" w:sz="4" w:space="0"/>
              <w:bottom w:val="single" w:color="000000" w:sz="4" w:space="0"/>
              <w:right w:val="single" w:color="000000" w:sz="4" w:space="0"/>
            </w:tcBorders>
            <w:vAlign w:val="center"/>
          </w:tcPr>
          <w:p w14:paraId="02CF7F01">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设备</w:t>
            </w:r>
            <w:r>
              <w:rPr>
                <w:rStyle w:val="25"/>
                <w:rFonts w:hint="eastAsia"/>
                <w:lang w:val="en-US" w:eastAsia="zh-CN" w:bidi="ar"/>
              </w:rPr>
              <w:t>管理</w:t>
            </w:r>
            <w:r>
              <w:rPr>
                <w:rStyle w:val="25"/>
                <w:lang w:val="en-US" w:eastAsia="zh-CN" w:bidi="ar"/>
              </w:rPr>
              <w:t>部</w:t>
            </w:r>
          </w:p>
        </w:tc>
      </w:tr>
      <w:tr w14:paraId="3B01B9B4">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7D4B7AD2">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销售采购部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53B3C1F3">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郭  佳</w:t>
            </w:r>
          </w:p>
        </w:tc>
        <w:tc>
          <w:tcPr>
            <w:tcW w:w="1919" w:type="dxa"/>
            <w:tcBorders>
              <w:top w:val="single" w:color="000000" w:sz="4" w:space="0"/>
              <w:left w:val="single" w:color="000000" w:sz="4" w:space="0"/>
              <w:bottom w:val="single" w:color="000000" w:sz="4" w:space="0"/>
              <w:right w:val="single" w:color="000000" w:sz="4" w:space="0"/>
            </w:tcBorders>
            <w:vAlign w:val="center"/>
          </w:tcPr>
          <w:p w14:paraId="39274824">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15548558677</w:t>
            </w:r>
          </w:p>
        </w:tc>
        <w:tc>
          <w:tcPr>
            <w:tcW w:w="1565" w:type="dxa"/>
            <w:tcBorders>
              <w:top w:val="single" w:color="000000" w:sz="4" w:space="0"/>
              <w:left w:val="single" w:color="000000" w:sz="4" w:space="0"/>
              <w:bottom w:val="single" w:color="000000" w:sz="4" w:space="0"/>
              <w:right w:val="single" w:color="000000" w:sz="4" w:space="0"/>
            </w:tcBorders>
            <w:vAlign w:val="center"/>
          </w:tcPr>
          <w:p w14:paraId="330752D6">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销售采购部</w:t>
            </w:r>
          </w:p>
        </w:tc>
      </w:tr>
      <w:tr w14:paraId="581E587A">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4C3DFFB0">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综合部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0186DFDA">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芦  婧</w:t>
            </w:r>
          </w:p>
        </w:tc>
        <w:tc>
          <w:tcPr>
            <w:tcW w:w="1919" w:type="dxa"/>
            <w:tcBorders>
              <w:top w:val="single" w:color="000000" w:sz="4" w:space="0"/>
              <w:left w:val="single" w:color="000000" w:sz="4" w:space="0"/>
              <w:bottom w:val="single" w:color="000000" w:sz="4" w:space="0"/>
              <w:right w:val="single" w:color="000000" w:sz="4" w:space="0"/>
            </w:tcBorders>
            <w:vAlign w:val="center"/>
          </w:tcPr>
          <w:p w14:paraId="5E76C5A3">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18847143835</w:t>
            </w:r>
          </w:p>
        </w:tc>
        <w:tc>
          <w:tcPr>
            <w:tcW w:w="1565" w:type="dxa"/>
            <w:tcBorders>
              <w:top w:val="single" w:color="000000" w:sz="4" w:space="0"/>
              <w:left w:val="single" w:color="000000" w:sz="4" w:space="0"/>
              <w:bottom w:val="single" w:color="000000" w:sz="4" w:space="0"/>
              <w:right w:val="single" w:color="000000" w:sz="4" w:space="0"/>
            </w:tcBorders>
            <w:vAlign w:val="center"/>
          </w:tcPr>
          <w:p w14:paraId="0D88E74E">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综合部</w:t>
            </w:r>
          </w:p>
        </w:tc>
      </w:tr>
      <w:tr w14:paraId="1E568E7C">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1F35228E">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生产技术部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547B5A15">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任伟兴</w:t>
            </w:r>
          </w:p>
        </w:tc>
        <w:tc>
          <w:tcPr>
            <w:tcW w:w="1919" w:type="dxa"/>
            <w:tcBorders>
              <w:top w:val="single" w:color="000000" w:sz="4" w:space="0"/>
              <w:left w:val="single" w:color="000000" w:sz="4" w:space="0"/>
              <w:bottom w:val="single" w:color="000000" w:sz="4" w:space="0"/>
              <w:right w:val="single" w:color="000000" w:sz="4" w:space="0"/>
            </w:tcBorders>
            <w:vAlign w:val="center"/>
          </w:tcPr>
          <w:p w14:paraId="5BD4DD1C">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15647128223</w:t>
            </w:r>
          </w:p>
        </w:tc>
        <w:tc>
          <w:tcPr>
            <w:tcW w:w="1565" w:type="dxa"/>
            <w:tcBorders>
              <w:top w:val="single" w:color="000000" w:sz="4" w:space="0"/>
              <w:left w:val="single" w:color="000000" w:sz="4" w:space="0"/>
              <w:bottom w:val="single" w:color="000000" w:sz="4" w:space="0"/>
              <w:right w:val="single" w:color="000000" w:sz="4" w:space="0"/>
            </w:tcBorders>
            <w:vAlign w:val="center"/>
          </w:tcPr>
          <w:p w14:paraId="10336280">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生产技术部</w:t>
            </w:r>
          </w:p>
        </w:tc>
      </w:tr>
      <w:tr w14:paraId="48E7A9D0">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79A4F78C">
            <w:pPr>
              <w:keepNext w:val="0"/>
              <w:keepLines w:val="0"/>
              <w:widowControl/>
              <w:suppressLineNumbers w:val="0"/>
              <w:jc w:val="center"/>
              <w:textAlignment w:val="center"/>
              <w:rPr>
                <w:rFonts w:hint="eastAsia" w:ascii="黑体" w:hAnsi="宋体" w:eastAsia="黑体" w:cs="黑体"/>
                <w:color w:val="000000"/>
                <w:sz w:val="20"/>
                <w:szCs w:val="20"/>
                <w:lang w:eastAsia="zh-CN"/>
              </w:rPr>
            </w:pPr>
            <w:r>
              <w:rPr>
                <w:rStyle w:val="25"/>
                <w:lang w:val="en-US" w:eastAsia="zh-CN" w:bidi="ar"/>
              </w:rPr>
              <w:t>调度中心</w:t>
            </w:r>
          </w:p>
        </w:tc>
        <w:tc>
          <w:tcPr>
            <w:tcW w:w="1748" w:type="dxa"/>
            <w:tcBorders>
              <w:top w:val="single" w:color="000000" w:sz="4" w:space="0"/>
              <w:left w:val="single" w:color="000000" w:sz="4" w:space="0"/>
              <w:bottom w:val="single" w:color="000000" w:sz="4" w:space="0"/>
              <w:right w:val="single" w:color="000000" w:sz="4" w:space="0"/>
            </w:tcBorders>
            <w:vAlign w:val="center"/>
          </w:tcPr>
          <w:p w14:paraId="48B9A128">
            <w:pPr>
              <w:keepNext w:val="0"/>
              <w:keepLines w:val="0"/>
              <w:widowControl/>
              <w:suppressLineNumbers w:val="0"/>
              <w:jc w:val="center"/>
              <w:textAlignment w:val="center"/>
              <w:rPr>
                <w:rFonts w:hint="default" w:ascii="黑体" w:hAnsi="宋体" w:eastAsia="黑体" w:cs="黑体"/>
                <w:color w:val="000000"/>
                <w:sz w:val="20"/>
                <w:szCs w:val="20"/>
                <w:lang w:val="en-US"/>
              </w:rPr>
            </w:pPr>
            <w:r>
              <w:rPr>
                <w:rFonts w:hint="eastAsia" w:ascii="黑体" w:hAnsi="宋体" w:eastAsia="黑体" w:cs="黑体"/>
                <w:i w:val="0"/>
                <w:iCs w:val="0"/>
                <w:color w:val="000000"/>
                <w:sz w:val="20"/>
                <w:szCs w:val="20"/>
                <w:u w:val="none"/>
                <w:lang w:val="en-US" w:eastAsia="zh-CN"/>
              </w:rPr>
              <w:t>刘  阳</w:t>
            </w:r>
          </w:p>
        </w:tc>
        <w:tc>
          <w:tcPr>
            <w:tcW w:w="1919" w:type="dxa"/>
            <w:tcBorders>
              <w:top w:val="single" w:color="000000" w:sz="4" w:space="0"/>
              <w:left w:val="single" w:color="000000" w:sz="4" w:space="0"/>
              <w:bottom w:val="single" w:color="000000" w:sz="4" w:space="0"/>
              <w:right w:val="single" w:color="000000" w:sz="4" w:space="0"/>
            </w:tcBorders>
            <w:vAlign w:val="center"/>
          </w:tcPr>
          <w:p w14:paraId="0240E7F2">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14794836772</w:t>
            </w:r>
          </w:p>
        </w:tc>
        <w:tc>
          <w:tcPr>
            <w:tcW w:w="1565" w:type="dxa"/>
            <w:tcBorders>
              <w:top w:val="single" w:color="000000" w:sz="4" w:space="0"/>
              <w:left w:val="single" w:color="000000" w:sz="4" w:space="0"/>
              <w:bottom w:val="single" w:color="000000" w:sz="4" w:space="0"/>
              <w:right w:val="single" w:color="000000" w:sz="4" w:space="0"/>
            </w:tcBorders>
            <w:vAlign w:val="center"/>
          </w:tcPr>
          <w:p w14:paraId="0F0EE158">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调度中心</w:t>
            </w:r>
          </w:p>
        </w:tc>
      </w:tr>
      <w:tr w14:paraId="1F18B33E">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7A6A6DEB">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人力资源部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6007DD03">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魏艳昕</w:t>
            </w:r>
          </w:p>
        </w:tc>
        <w:tc>
          <w:tcPr>
            <w:tcW w:w="1919" w:type="dxa"/>
            <w:tcBorders>
              <w:top w:val="single" w:color="000000" w:sz="4" w:space="0"/>
              <w:left w:val="single" w:color="000000" w:sz="4" w:space="0"/>
              <w:bottom w:val="single" w:color="000000" w:sz="4" w:space="0"/>
              <w:right w:val="single" w:color="000000" w:sz="4" w:space="0"/>
            </w:tcBorders>
            <w:vAlign w:val="center"/>
          </w:tcPr>
          <w:p w14:paraId="7F4C6102">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15047595653</w:t>
            </w:r>
          </w:p>
        </w:tc>
        <w:tc>
          <w:tcPr>
            <w:tcW w:w="1565" w:type="dxa"/>
            <w:tcBorders>
              <w:top w:val="single" w:color="000000" w:sz="4" w:space="0"/>
              <w:left w:val="single" w:color="000000" w:sz="4" w:space="0"/>
              <w:bottom w:val="single" w:color="000000" w:sz="4" w:space="0"/>
              <w:right w:val="single" w:color="000000" w:sz="4" w:space="0"/>
            </w:tcBorders>
            <w:vAlign w:val="center"/>
          </w:tcPr>
          <w:p w14:paraId="30329206">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人力资源部</w:t>
            </w:r>
          </w:p>
        </w:tc>
      </w:tr>
      <w:tr w14:paraId="2157A3C8">
        <w:tblPrEx>
          <w:tblCellMar>
            <w:top w:w="0" w:type="dxa"/>
            <w:left w:w="108" w:type="dxa"/>
            <w:bottom w:w="0" w:type="dxa"/>
            <w:right w:w="108" w:type="dxa"/>
          </w:tblCellMar>
        </w:tblPrEx>
        <w:trPr>
          <w:trHeight w:val="480" w:hRule="atLeast"/>
          <w:jc w:val="center"/>
        </w:trPr>
        <w:tc>
          <w:tcPr>
            <w:tcW w:w="1539" w:type="dxa"/>
            <w:tcBorders>
              <w:top w:val="single" w:color="000000" w:sz="4" w:space="0"/>
              <w:left w:val="single" w:color="000000" w:sz="4" w:space="0"/>
              <w:bottom w:val="single" w:color="000000" w:sz="4" w:space="0"/>
              <w:right w:val="single" w:color="000000" w:sz="4" w:space="0"/>
            </w:tcBorders>
            <w:vAlign w:val="center"/>
          </w:tcPr>
          <w:p w14:paraId="11A11ACE">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财务部</w:t>
            </w:r>
          </w:p>
        </w:tc>
        <w:tc>
          <w:tcPr>
            <w:tcW w:w="1748" w:type="dxa"/>
            <w:tcBorders>
              <w:top w:val="single" w:color="000000" w:sz="4" w:space="0"/>
              <w:left w:val="single" w:color="000000" w:sz="4" w:space="0"/>
              <w:bottom w:val="single" w:color="000000" w:sz="4" w:space="0"/>
              <w:right w:val="single" w:color="000000" w:sz="4" w:space="0"/>
            </w:tcBorders>
            <w:vAlign w:val="center"/>
          </w:tcPr>
          <w:p w14:paraId="6C8E1D09">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sz w:val="20"/>
                <w:szCs w:val="20"/>
                <w:u w:val="none"/>
                <w:lang w:val="en-US" w:eastAsia="zh-CN"/>
              </w:rPr>
              <w:t>张美慧</w:t>
            </w:r>
          </w:p>
        </w:tc>
        <w:tc>
          <w:tcPr>
            <w:tcW w:w="1919" w:type="dxa"/>
            <w:tcBorders>
              <w:top w:val="single" w:color="000000" w:sz="4" w:space="0"/>
              <w:left w:val="single" w:color="000000" w:sz="4" w:space="0"/>
              <w:bottom w:val="single" w:color="000000" w:sz="4" w:space="0"/>
              <w:right w:val="single" w:color="000000" w:sz="4" w:space="0"/>
            </w:tcBorders>
            <w:vAlign w:val="center"/>
          </w:tcPr>
          <w:p w14:paraId="58F97F9B">
            <w:pPr>
              <w:keepNext w:val="0"/>
              <w:keepLines w:val="0"/>
              <w:widowControl/>
              <w:suppressLineNumbers w:val="0"/>
              <w:jc w:val="center"/>
              <w:textAlignment w:val="center"/>
              <w:rPr>
                <w:rFonts w:hint="eastAsia" w:ascii="黑体" w:hAnsi="宋体" w:eastAsia="黑体" w:cs="黑体"/>
                <w:color w:val="000000"/>
                <w:sz w:val="20"/>
                <w:szCs w:val="20"/>
              </w:rPr>
            </w:pPr>
            <w:r>
              <w:rPr>
                <w:rFonts w:hint="eastAsia" w:ascii="黑体" w:hAnsi="宋体" w:eastAsia="黑体" w:cs="黑体"/>
                <w:i w:val="0"/>
                <w:iCs w:val="0"/>
                <w:color w:val="000000"/>
                <w:kern w:val="2"/>
                <w:sz w:val="20"/>
                <w:szCs w:val="20"/>
                <w:u w:val="none"/>
                <w:lang w:val="en-US" w:eastAsia="zh-CN" w:bidi="ar-SA"/>
              </w:rPr>
              <w:t>15242158393</w:t>
            </w:r>
          </w:p>
        </w:tc>
        <w:tc>
          <w:tcPr>
            <w:tcW w:w="1565" w:type="dxa"/>
            <w:tcBorders>
              <w:top w:val="single" w:color="000000" w:sz="4" w:space="0"/>
              <w:left w:val="single" w:color="000000" w:sz="4" w:space="0"/>
              <w:bottom w:val="single" w:color="000000" w:sz="4" w:space="0"/>
              <w:right w:val="single" w:color="000000" w:sz="4" w:space="0"/>
            </w:tcBorders>
            <w:vAlign w:val="center"/>
          </w:tcPr>
          <w:p w14:paraId="76A13413">
            <w:pPr>
              <w:keepNext w:val="0"/>
              <w:keepLines w:val="0"/>
              <w:widowControl/>
              <w:suppressLineNumbers w:val="0"/>
              <w:jc w:val="center"/>
              <w:textAlignment w:val="center"/>
              <w:rPr>
                <w:rFonts w:hint="eastAsia" w:ascii="黑体" w:hAnsi="宋体" w:eastAsia="黑体" w:cs="黑体"/>
                <w:color w:val="000000"/>
                <w:sz w:val="20"/>
                <w:szCs w:val="20"/>
              </w:rPr>
            </w:pPr>
            <w:r>
              <w:rPr>
                <w:rStyle w:val="25"/>
                <w:lang w:val="en-US" w:eastAsia="zh-CN" w:bidi="ar"/>
              </w:rPr>
              <w:t>财务部</w:t>
            </w:r>
          </w:p>
        </w:tc>
      </w:tr>
    </w:tbl>
    <w:p w14:paraId="3A32F245">
      <w:pPr>
        <w:widowControl/>
        <w:tabs>
          <w:tab w:val="left" w:pos="960"/>
        </w:tabs>
        <w:autoSpaceDE w:val="0"/>
        <w:autoSpaceDN w:val="0"/>
        <w:adjustRightInd w:val="0"/>
        <w:snapToGrid w:val="0"/>
        <w:spacing w:line="560" w:lineRule="exact"/>
        <w:ind w:firstLine="400" w:firstLineChars="200"/>
        <w:jc w:val="left"/>
        <w:textAlignment w:val="baseline"/>
        <w:rPr>
          <w:rFonts w:eastAsia="仿宋_GB2312"/>
          <w:bCs/>
          <w:snapToGrid w:val="0"/>
          <w:color w:val="000000" w:themeColor="text1"/>
          <w:kern w:val="0"/>
          <w:sz w:val="32"/>
          <w:szCs w:val="32"/>
          <w14:textFill>
            <w14:solidFill>
              <w14:schemeClr w14:val="tx1"/>
            </w14:solidFill>
          </w14:textFill>
        </w:rPr>
      </w:pPr>
      <w:r>
        <w:rPr>
          <w:rFonts w:hint="eastAsia" w:ascii="黑体" w:hAnsi="宋体" w:eastAsia="黑体" w:cs="黑体"/>
          <w:color w:val="000000"/>
          <w:kern w:val="0"/>
          <w:sz w:val="20"/>
          <w:szCs w:val="20"/>
          <w:lang w:bidi="ar"/>
        </w:rPr>
        <w:t>依据西北能化公司〔2022年〕124号合规实施细则第十三条、第十四条等条款规定</w:t>
      </w:r>
    </w:p>
    <w:p w14:paraId="4F8506E6">
      <w:pPr>
        <w:spacing w:line="360" w:lineRule="exact"/>
        <w:jc w:val="center"/>
        <w:rPr>
          <w:rFonts w:hint="eastAsia" w:ascii="黑体" w:hAnsi="黑体" w:eastAsia="黑体"/>
          <w:sz w:val="32"/>
          <w:szCs w:val="32"/>
        </w:rPr>
      </w:pPr>
    </w:p>
    <w:p w14:paraId="3D668A7C"/>
    <w:p w14:paraId="21DB843A"/>
    <w:p w14:paraId="7D6C5BFD"/>
    <w:p w14:paraId="4111FE95"/>
    <w:p w14:paraId="6A6075C4"/>
    <w:p w14:paraId="1192BFAA"/>
    <w:p w14:paraId="45CF9FF8"/>
    <w:p w14:paraId="4938C44F"/>
    <w:p w14:paraId="21CFF506"/>
    <w:p w14:paraId="41F7B75A"/>
    <w:p w14:paraId="5741DF2C"/>
    <w:p w14:paraId="151B6EE8"/>
    <w:p w14:paraId="587A7E8A"/>
    <w:p w14:paraId="6E55602D"/>
    <w:p w14:paraId="5C579BB4"/>
    <w:p w14:paraId="27FD1DE3"/>
    <w:p w14:paraId="34704A9B"/>
    <w:p w14:paraId="52EAFE8A"/>
    <w:p w14:paraId="526956B9">
      <w:pPr>
        <w:keepNext w:val="0"/>
        <w:keepLines w:val="0"/>
        <w:pageBreakBefore w:val="0"/>
        <w:tabs>
          <w:tab w:val="left" w:pos="960"/>
        </w:tabs>
        <w:kinsoku/>
        <w:wordWrap/>
        <w:overflowPunct/>
        <w:topLinePunct w:val="0"/>
        <w:bidi w:val="0"/>
        <w:spacing w:line="500" w:lineRule="exact"/>
        <w:rPr>
          <w:rFonts w:hint="eastAsia" w:ascii="楷体_GB2312" w:hAnsi="楷体_GB2312" w:eastAsia="楷体_GB2312" w:cs="楷体_GB2312"/>
          <w:b w:val="0"/>
          <w:bCs/>
          <w:snapToGrid w:val="0"/>
          <w:color w:val="000000" w:themeColor="text1"/>
          <w:kern w:val="0"/>
          <w:sz w:val="32"/>
          <w:szCs w:val="32"/>
          <w14:textFill>
            <w14:solidFill>
              <w14:schemeClr w14:val="tx1"/>
            </w14:solidFill>
          </w14:textFill>
        </w:rPr>
      </w:pPr>
    </w:p>
    <w:p w14:paraId="294A0723">
      <w:pPr>
        <w:widowControl/>
        <w:tabs>
          <w:tab w:val="left" w:pos="960"/>
        </w:tabs>
        <w:autoSpaceDE w:val="0"/>
        <w:autoSpaceDN w:val="0"/>
        <w:adjustRightInd w:val="0"/>
        <w:snapToGrid w:val="0"/>
        <w:spacing w:line="520" w:lineRule="exact"/>
        <w:jc w:val="left"/>
        <w:textAlignment w:val="baseline"/>
        <w:rPr>
          <w:rFonts w:hint="eastAsia" w:ascii="黑体" w:hAnsi="黑体" w:eastAsia="黑体" w:cs="黑体"/>
          <w:bCs/>
          <w:snapToGrid w:val="0"/>
          <w:color w:val="000000" w:themeColor="text1"/>
          <w:kern w:val="0"/>
          <w:sz w:val="32"/>
          <w:szCs w:val="32"/>
          <w14:textFill>
            <w14:solidFill>
              <w14:schemeClr w14:val="tx1"/>
            </w14:solidFill>
          </w14:textFill>
        </w:rPr>
      </w:pPr>
    </w:p>
    <w:p w14:paraId="1FC6D10E">
      <w:pPr>
        <w:widowControl/>
        <w:tabs>
          <w:tab w:val="left" w:pos="960"/>
        </w:tabs>
        <w:autoSpaceDE w:val="0"/>
        <w:autoSpaceDN w:val="0"/>
        <w:adjustRightInd w:val="0"/>
        <w:snapToGrid w:val="0"/>
        <w:spacing w:line="520" w:lineRule="exact"/>
        <w:jc w:val="left"/>
        <w:textAlignment w:val="baseline"/>
        <w:rPr>
          <w:rFonts w:hint="default" w:ascii="黑体" w:hAnsi="黑体" w:eastAsia="黑体" w:cs="黑体"/>
          <w:bCs/>
          <w:snapToGrid w:val="0"/>
          <w:color w:val="000000" w:themeColor="text1"/>
          <w:kern w:val="0"/>
          <w:sz w:val="32"/>
          <w:szCs w:val="32"/>
          <w:lang w:val="en-US" w:eastAsia="zh-CN"/>
          <w14:textFill>
            <w14:solidFill>
              <w14:schemeClr w14:val="tx1"/>
            </w14:solidFill>
          </w14:textFill>
        </w:rPr>
      </w:pPr>
      <w:r>
        <w:rPr>
          <w:rFonts w:hint="eastAsia" w:ascii="黑体" w:hAnsi="黑体" w:eastAsia="黑体" w:cs="黑体"/>
          <w:bCs/>
          <w:snapToGrid w:val="0"/>
          <w:color w:val="000000" w:themeColor="text1"/>
          <w:kern w:val="0"/>
          <w:sz w:val="32"/>
          <w:szCs w:val="32"/>
          <w14:textFill>
            <w14:solidFill>
              <w14:schemeClr w14:val="tx1"/>
            </w14:solidFill>
          </w14:textFill>
        </w:rPr>
        <w:t>附表</w:t>
      </w:r>
      <w:r>
        <w:rPr>
          <w:rFonts w:hint="eastAsia" w:ascii="黑体" w:hAnsi="黑体" w:eastAsia="黑体" w:cs="黑体"/>
          <w:bCs/>
          <w:snapToGrid w:val="0"/>
          <w:color w:val="000000" w:themeColor="text1"/>
          <w:kern w:val="0"/>
          <w:sz w:val="32"/>
          <w:szCs w:val="32"/>
          <w:lang w:val="en-US" w:eastAsia="zh-CN"/>
          <w14:textFill>
            <w14:solidFill>
              <w14:schemeClr w14:val="tx1"/>
            </w14:solidFill>
          </w14:textFill>
        </w:rPr>
        <w:t>2</w:t>
      </w:r>
    </w:p>
    <w:p w14:paraId="294EC70D">
      <w:pPr>
        <w:jc w:val="center"/>
        <w:rPr>
          <w:rFonts w:hint="eastAsia" w:ascii="黑体" w:hAnsi="黑体" w:eastAsia="黑体" w:cs="黑体"/>
          <w:sz w:val="44"/>
          <w:szCs w:val="44"/>
        </w:rPr>
      </w:pPr>
      <w:r>
        <w:rPr>
          <w:rFonts w:hint="eastAsia" w:ascii="黑体" w:hAnsi="黑体" w:eastAsia="黑体" w:cs="黑体"/>
          <w:sz w:val="36"/>
          <w:szCs w:val="36"/>
        </w:rPr>
        <w:t>重大合同合规审查表</w:t>
      </w:r>
    </w:p>
    <w:tbl>
      <w:tblPr>
        <w:tblStyle w:val="1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913"/>
        <w:gridCol w:w="387"/>
        <w:gridCol w:w="447"/>
        <w:gridCol w:w="480"/>
        <w:gridCol w:w="654"/>
        <w:gridCol w:w="2268"/>
      </w:tblGrid>
      <w:tr w14:paraId="034A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498" w:type="dxa"/>
            <w:vAlign w:val="center"/>
          </w:tcPr>
          <w:p w14:paraId="4E3703B5">
            <w:pPr>
              <w:jc w:val="center"/>
              <w:rPr>
                <w:rFonts w:ascii="仿宋_GB2312" w:eastAsia="仿宋_GB2312"/>
                <w:sz w:val="24"/>
              </w:rPr>
            </w:pPr>
            <w:r>
              <w:rPr>
                <w:rFonts w:hint="eastAsia" w:ascii="仿宋_GB2312" w:eastAsia="仿宋_GB2312"/>
                <w:sz w:val="24"/>
              </w:rPr>
              <w:t>合同名称</w:t>
            </w:r>
          </w:p>
        </w:tc>
        <w:tc>
          <w:tcPr>
            <w:tcW w:w="3300" w:type="dxa"/>
            <w:gridSpan w:val="2"/>
            <w:vAlign w:val="center"/>
          </w:tcPr>
          <w:p w14:paraId="2F960342">
            <w:pPr>
              <w:jc w:val="center"/>
              <w:rPr>
                <w:rFonts w:ascii="仿宋_GB2312" w:eastAsia="仿宋_GB2312"/>
              </w:rPr>
            </w:pPr>
          </w:p>
        </w:tc>
        <w:tc>
          <w:tcPr>
            <w:tcW w:w="447" w:type="dxa"/>
            <w:vMerge w:val="restart"/>
            <w:vAlign w:val="center"/>
          </w:tcPr>
          <w:p w14:paraId="2907BFEA">
            <w:pPr>
              <w:jc w:val="center"/>
              <w:rPr>
                <w:rFonts w:ascii="仿宋_GB2312" w:eastAsia="仿宋_GB2312"/>
                <w:sz w:val="24"/>
              </w:rPr>
            </w:pPr>
            <w:r>
              <w:rPr>
                <w:rFonts w:hint="eastAsia" w:ascii="仿宋_GB2312" w:eastAsia="仿宋_GB2312"/>
                <w:sz w:val="24"/>
              </w:rPr>
              <w:t>甲方</w:t>
            </w:r>
          </w:p>
        </w:tc>
        <w:tc>
          <w:tcPr>
            <w:tcW w:w="3402" w:type="dxa"/>
            <w:gridSpan w:val="3"/>
            <w:vMerge w:val="restart"/>
            <w:vAlign w:val="center"/>
          </w:tcPr>
          <w:p w14:paraId="295A2BAE">
            <w:pPr>
              <w:rPr>
                <w:rFonts w:ascii="仿宋_GB2312" w:eastAsia="仿宋_GB2312"/>
              </w:rPr>
            </w:pPr>
          </w:p>
        </w:tc>
      </w:tr>
      <w:tr w14:paraId="741C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498" w:type="dxa"/>
            <w:vAlign w:val="center"/>
          </w:tcPr>
          <w:p w14:paraId="5DAF431C">
            <w:pPr>
              <w:jc w:val="center"/>
              <w:rPr>
                <w:rFonts w:ascii="仿宋_GB2312" w:eastAsia="仿宋_GB2312"/>
                <w:sz w:val="24"/>
              </w:rPr>
            </w:pPr>
            <w:r>
              <w:rPr>
                <w:rFonts w:hint="eastAsia" w:ascii="仿宋_GB2312" w:eastAsia="仿宋_GB2312"/>
                <w:sz w:val="24"/>
              </w:rPr>
              <w:t>合同编号</w:t>
            </w:r>
          </w:p>
        </w:tc>
        <w:tc>
          <w:tcPr>
            <w:tcW w:w="3300" w:type="dxa"/>
            <w:gridSpan w:val="2"/>
            <w:vAlign w:val="center"/>
          </w:tcPr>
          <w:p w14:paraId="27AE6C62">
            <w:pPr>
              <w:jc w:val="center"/>
              <w:rPr>
                <w:rFonts w:ascii="仿宋_GB2312" w:eastAsia="仿宋_GB2312"/>
                <w:sz w:val="24"/>
              </w:rPr>
            </w:pPr>
          </w:p>
        </w:tc>
        <w:tc>
          <w:tcPr>
            <w:tcW w:w="447" w:type="dxa"/>
            <w:vMerge w:val="continue"/>
            <w:vAlign w:val="center"/>
          </w:tcPr>
          <w:p w14:paraId="6980A299">
            <w:pPr>
              <w:jc w:val="center"/>
              <w:rPr>
                <w:rFonts w:ascii="仿宋_GB2312" w:eastAsia="仿宋_GB2312"/>
                <w:sz w:val="24"/>
              </w:rPr>
            </w:pPr>
          </w:p>
        </w:tc>
        <w:tc>
          <w:tcPr>
            <w:tcW w:w="3402" w:type="dxa"/>
            <w:gridSpan w:val="3"/>
            <w:vMerge w:val="continue"/>
            <w:vAlign w:val="center"/>
          </w:tcPr>
          <w:p w14:paraId="06EAADDD">
            <w:pPr>
              <w:jc w:val="center"/>
              <w:rPr>
                <w:rFonts w:ascii="仿宋_GB2312" w:eastAsia="仿宋_GB2312"/>
                <w:sz w:val="24"/>
              </w:rPr>
            </w:pPr>
          </w:p>
        </w:tc>
      </w:tr>
      <w:tr w14:paraId="3BC1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498" w:type="dxa"/>
            <w:vAlign w:val="center"/>
          </w:tcPr>
          <w:p w14:paraId="0A76B086">
            <w:pPr>
              <w:jc w:val="center"/>
              <w:rPr>
                <w:rFonts w:ascii="仿宋_GB2312" w:eastAsia="仿宋_GB2312"/>
                <w:sz w:val="24"/>
              </w:rPr>
            </w:pPr>
            <w:r>
              <w:rPr>
                <w:rFonts w:hint="eastAsia" w:ascii="仿宋_GB2312" w:eastAsia="仿宋_GB2312"/>
                <w:sz w:val="24"/>
              </w:rPr>
              <w:t>合同金额</w:t>
            </w:r>
          </w:p>
        </w:tc>
        <w:tc>
          <w:tcPr>
            <w:tcW w:w="3300" w:type="dxa"/>
            <w:gridSpan w:val="2"/>
            <w:vAlign w:val="center"/>
          </w:tcPr>
          <w:p w14:paraId="065EC473">
            <w:pPr>
              <w:jc w:val="center"/>
              <w:rPr>
                <w:rFonts w:ascii="仿宋_GB2312" w:eastAsia="仿宋_GB2312"/>
              </w:rPr>
            </w:pPr>
          </w:p>
        </w:tc>
        <w:tc>
          <w:tcPr>
            <w:tcW w:w="447" w:type="dxa"/>
            <w:vMerge w:val="restart"/>
            <w:vAlign w:val="center"/>
          </w:tcPr>
          <w:p w14:paraId="7CA312FE">
            <w:pPr>
              <w:jc w:val="center"/>
              <w:rPr>
                <w:rFonts w:ascii="仿宋_GB2312" w:eastAsia="仿宋_GB2312"/>
              </w:rPr>
            </w:pPr>
            <w:r>
              <w:rPr>
                <w:rFonts w:hint="eastAsia" w:ascii="仿宋_GB2312" w:eastAsia="仿宋_GB2312"/>
              </w:rPr>
              <w:t>乙方</w:t>
            </w:r>
          </w:p>
        </w:tc>
        <w:tc>
          <w:tcPr>
            <w:tcW w:w="3402" w:type="dxa"/>
            <w:gridSpan w:val="3"/>
            <w:vMerge w:val="restart"/>
            <w:vAlign w:val="center"/>
          </w:tcPr>
          <w:p w14:paraId="171C825A">
            <w:pPr>
              <w:jc w:val="center"/>
              <w:rPr>
                <w:rFonts w:ascii="仿宋_GB2312" w:eastAsia="仿宋_GB2312"/>
              </w:rPr>
            </w:pPr>
          </w:p>
        </w:tc>
      </w:tr>
      <w:tr w14:paraId="1CD5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498" w:type="dxa"/>
            <w:vAlign w:val="center"/>
          </w:tcPr>
          <w:p w14:paraId="07CD97BE">
            <w:pPr>
              <w:jc w:val="center"/>
              <w:rPr>
                <w:rFonts w:ascii="仿宋_GB2312" w:eastAsia="仿宋_GB2312"/>
                <w:sz w:val="24"/>
              </w:rPr>
            </w:pPr>
            <w:r>
              <w:rPr>
                <w:rFonts w:hint="eastAsia" w:ascii="仿宋_GB2312" w:eastAsia="仿宋_GB2312"/>
                <w:sz w:val="24"/>
              </w:rPr>
              <w:t>承办部门</w:t>
            </w:r>
          </w:p>
        </w:tc>
        <w:tc>
          <w:tcPr>
            <w:tcW w:w="3300" w:type="dxa"/>
            <w:gridSpan w:val="2"/>
            <w:vAlign w:val="center"/>
          </w:tcPr>
          <w:p w14:paraId="75431894">
            <w:pPr>
              <w:jc w:val="center"/>
              <w:rPr>
                <w:rFonts w:ascii="仿宋_GB2312" w:eastAsia="仿宋_GB2312"/>
                <w:sz w:val="24"/>
              </w:rPr>
            </w:pPr>
          </w:p>
        </w:tc>
        <w:tc>
          <w:tcPr>
            <w:tcW w:w="447" w:type="dxa"/>
            <w:vMerge w:val="continue"/>
            <w:vAlign w:val="center"/>
          </w:tcPr>
          <w:p w14:paraId="2A12EDB0">
            <w:pPr>
              <w:jc w:val="center"/>
              <w:rPr>
                <w:rFonts w:ascii="仿宋_GB2312" w:eastAsia="仿宋_GB2312"/>
                <w:sz w:val="24"/>
              </w:rPr>
            </w:pPr>
          </w:p>
        </w:tc>
        <w:tc>
          <w:tcPr>
            <w:tcW w:w="3402" w:type="dxa"/>
            <w:gridSpan w:val="3"/>
            <w:vMerge w:val="continue"/>
            <w:vAlign w:val="center"/>
          </w:tcPr>
          <w:p w14:paraId="33353F99">
            <w:pPr>
              <w:jc w:val="center"/>
              <w:rPr>
                <w:rFonts w:ascii="仿宋_GB2312" w:eastAsia="仿宋_GB2312"/>
                <w:sz w:val="24"/>
              </w:rPr>
            </w:pPr>
          </w:p>
        </w:tc>
      </w:tr>
      <w:tr w14:paraId="4098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47" w:type="dxa"/>
            <w:gridSpan w:val="7"/>
            <w:vAlign w:val="center"/>
          </w:tcPr>
          <w:p w14:paraId="47DE921C">
            <w:pPr>
              <w:jc w:val="center"/>
              <w:rPr>
                <w:rFonts w:ascii="仿宋_GB2312" w:eastAsia="仿宋_GB2312"/>
                <w:sz w:val="24"/>
              </w:rPr>
            </w:pPr>
            <w:r>
              <w:rPr>
                <w:rFonts w:hint="eastAsia" w:ascii="仿宋_GB2312" w:eastAsia="仿宋_GB2312"/>
                <w:sz w:val="24"/>
              </w:rPr>
              <w:t>审查范围</w:t>
            </w:r>
          </w:p>
        </w:tc>
      </w:tr>
      <w:tr w14:paraId="34AE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498" w:type="dxa"/>
            <w:vAlign w:val="center"/>
          </w:tcPr>
          <w:p w14:paraId="26B395B4">
            <w:pPr>
              <w:jc w:val="center"/>
              <w:rPr>
                <w:rFonts w:ascii="仿宋_GB2312" w:eastAsia="仿宋_GB2312"/>
                <w:sz w:val="24"/>
              </w:rPr>
            </w:pPr>
            <w:r>
              <w:rPr>
                <w:rFonts w:hint="eastAsia" w:ascii="仿宋_GB2312" w:eastAsia="仿宋_GB2312"/>
                <w:sz w:val="24"/>
              </w:rPr>
              <w:t>质保金</w:t>
            </w:r>
          </w:p>
        </w:tc>
        <w:tc>
          <w:tcPr>
            <w:tcW w:w="4881" w:type="dxa"/>
            <w:gridSpan w:val="5"/>
            <w:vAlign w:val="center"/>
          </w:tcPr>
          <w:p w14:paraId="5282D32F">
            <w:pPr>
              <w:jc w:val="left"/>
              <w:rPr>
                <w:rFonts w:ascii="仿宋_GB2312" w:eastAsia="仿宋_GB2312"/>
                <w:sz w:val="24"/>
              </w:rPr>
            </w:pPr>
          </w:p>
        </w:tc>
        <w:tc>
          <w:tcPr>
            <w:tcW w:w="2268" w:type="dxa"/>
            <w:vAlign w:val="center"/>
          </w:tcPr>
          <w:p w14:paraId="7FECA622">
            <w:pPr>
              <w:jc w:val="center"/>
              <w:rPr>
                <w:rFonts w:ascii="仿宋_GB2312" w:eastAsia="仿宋_GB2312"/>
              </w:rPr>
            </w:pPr>
          </w:p>
        </w:tc>
      </w:tr>
      <w:tr w14:paraId="00F4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498" w:type="dxa"/>
            <w:vAlign w:val="center"/>
          </w:tcPr>
          <w:p w14:paraId="23B4EF56">
            <w:pPr>
              <w:jc w:val="center"/>
              <w:rPr>
                <w:rFonts w:hint="eastAsia" w:ascii="仿宋_GB2312" w:hAnsi="仿宋_GB2312" w:eastAsia="仿宋_GB2312" w:cs="仿宋_GB2312"/>
                <w:sz w:val="32"/>
                <w:szCs w:val="32"/>
              </w:rPr>
            </w:pPr>
            <w:r>
              <w:rPr>
                <w:rFonts w:hint="eastAsia" w:ascii="仿宋_GB2312" w:eastAsia="仿宋_GB2312"/>
                <w:sz w:val="24"/>
              </w:rPr>
              <w:t>违约责任</w:t>
            </w:r>
          </w:p>
        </w:tc>
        <w:tc>
          <w:tcPr>
            <w:tcW w:w="4881" w:type="dxa"/>
            <w:gridSpan w:val="5"/>
            <w:vAlign w:val="center"/>
          </w:tcPr>
          <w:p w14:paraId="6F4E6E23">
            <w:pPr>
              <w:jc w:val="left"/>
              <w:rPr>
                <w:rFonts w:ascii="仿宋_GB2312" w:eastAsia="仿宋_GB2312"/>
                <w:sz w:val="24"/>
              </w:rPr>
            </w:pPr>
          </w:p>
        </w:tc>
        <w:tc>
          <w:tcPr>
            <w:tcW w:w="2268" w:type="dxa"/>
            <w:vAlign w:val="center"/>
          </w:tcPr>
          <w:p w14:paraId="2EE421E3">
            <w:pPr>
              <w:jc w:val="center"/>
              <w:rPr>
                <w:rFonts w:ascii="仿宋_GB2312" w:eastAsia="仿宋_GB2312"/>
              </w:rPr>
            </w:pPr>
          </w:p>
        </w:tc>
      </w:tr>
      <w:tr w14:paraId="3319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498" w:type="dxa"/>
            <w:vAlign w:val="center"/>
          </w:tcPr>
          <w:p w14:paraId="4A8E6807">
            <w:pPr>
              <w:jc w:val="center"/>
              <w:rPr>
                <w:rFonts w:ascii="仿宋_GB2312" w:eastAsia="仿宋_GB2312"/>
                <w:sz w:val="24"/>
              </w:rPr>
            </w:pPr>
            <w:r>
              <w:rPr>
                <w:rFonts w:hint="eastAsia" w:ascii="仿宋_GB2312" w:eastAsia="仿宋_GB2312"/>
                <w:sz w:val="24"/>
              </w:rPr>
              <w:t>程序审查</w:t>
            </w:r>
          </w:p>
        </w:tc>
        <w:tc>
          <w:tcPr>
            <w:tcW w:w="4881" w:type="dxa"/>
            <w:gridSpan w:val="5"/>
            <w:vAlign w:val="center"/>
          </w:tcPr>
          <w:p w14:paraId="5439B294">
            <w:pPr>
              <w:jc w:val="left"/>
              <w:rPr>
                <w:rFonts w:ascii="仿宋_GB2312" w:eastAsia="仿宋_GB2312"/>
                <w:sz w:val="24"/>
              </w:rPr>
            </w:pPr>
            <w:r>
              <w:rPr>
                <w:rFonts w:hint="eastAsia" w:ascii="仿宋_GB2312" w:eastAsia="仿宋_GB2312"/>
                <w:sz w:val="24"/>
              </w:rPr>
              <w:t>是否符合</w:t>
            </w:r>
            <w:r>
              <w:rPr>
                <w:rFonts w:hint="eastAsia" w:ascii="仿宋_GB2312" w:eastAsia="仿宋_GB2312"/>
                <w:sz w:val="24"/>
                <w:lang w:eastAsia="zh-CN"/>
              </w:rPr>
              <w:t>法律法规</w:t>
            </w:r>
            <w:r>
              <w:rPr>
                <w:rFonts w:hint="eastAsia" w:ascii="仿宋_GB2312" w:eastAsia="仿宋_GB2312"/>
                <w:sz w:val="24"/>
              </w:rPr>
              <w:t>、政策、国资监管规定等，以及公司章程、规章制度等规定的程序要求。</w:t>
            </w:r>
          </w:p>
        </w:tc>
        <w:tc>
          <w:tcPr>
            <w:tcW w:w="2268" w:type="dxa"/>
            <w:vAlign w:val="center"/>
          </w:tcPr>
          <w:p w14:paraId="4484BB7F">
            <w:pPr>
              <w:jc w:val="center"/>
              <w:rPr>
                <w:rFonts w:ascii="仿宋_GB2312" w:eastAsia="仿宋_GB2312"/>
              </w:rPr>
            </w:pPr>
          </w:p>
        </w:tc>
      </w:tr>
      <w:tr w14:paraId="25B6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1498" w:type="dxa"/>
            <w:vAlign w:val="center"/>
          </w:tcPr>
          <w:p w14:paraId="7F170823">
            <w:pPr>
              <w:jc w:val="center"/>
              <w:rPr>
                <w:rFonts w:ascii="仿宋_GB2312" w:eastAsia="仿宋_GB2312"/>
                <w:sz w:val="24"/>
              </w:rPr>
            </w:pPr>
            <w:r>
              <w:rPr>
                <w:rFonts w:hint="eastAsia" w:ascii="仿宋_GB2312" w:eastAsia="仿宋_GB2312"/>
                <w:sz w:val="24"/>
              </w:rPr>
              <w:t>内容审查</w:t>
            </w:r>
          </w:p>
        </w:tc>
        <w:tc>
          <w:tcPr>
            <w:tcW w:w="4881" w:type="dxa"/>
            <w:gridSpan w:val="5"/>
            <w:vAlign w:val="center"/>
          </w:tcPr>
          <w:p w14:paraId="31A02665">
            <w:pPr>
              <w:jc w:val="left"/>
              <w:rPr>
                <w:rFonts w:ascii="仿宋_GB2312" w:eastAsia="仿宋_GB2312"/>
                <w:sz w:val="24"/>
              </w:rPr>
            </w:pPr>
            <w:r>
              <w:rPr>
                <w:rFonts w:hint="eastAsia" w:ascii="仿宋_GB2312" w:eastAsia="仿宋_GB2312"/>
                <w:sz w:val="24"/>
              </w:rPr>
              <w:t>是否存在违反</w:t>
            </w:r>
            <w:r>
              <w:rPr>
                <w:rFonts w:hint="eastAsia" w:ascii="仿宋_GB2312" w:eastAsia="仿宋_GB2312"/>
                <w:sz w:val="24"/>
                <w:lang w:eastAsia="zh-CN"/>
              </w:rPr>
              <w:t>法律法规</w:t>
            </w:r>
            <w:r>
              <w:rPr>
                <w:rFonts w:hint="eastAsia" w:ascii="仿宋_GB2312" w:eastAsia="仿宋_GB2312"/>
                <w:sz w:val="24"/>
              </w:rPr>
              <w:t>、政策、国资监管规定等，以及公司章程、规章制度等规定的内容；是否存在显失公平、重大风险隐患或损害公司重大利益等内容。</w:t>
            </w:r>
          </w:p>
        </w:tc>
        <w:tc>
          <w:tcPr>
            <w:tcW w:w="2268" w:type="dxa"/>
            <w:vAlign w:val="center"/>
          </w:tcPr>
          <w:p w14:paraId="67EDB7F2">
            <w:pPr>
              <w:jc w:val="center"/>
              <w:rPr>
                <w:rFonts w:ascii="仿宋_GB2312" w:eastAsia="仿宋_GB2312"/>
              </w:rPr>
            </w:pPr>
          </w:p>
        </w:tc>
      </w:tr>
      <w:tr w14:paraId="429B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498" w:type="dxa"/>
            <w:vAlign w:val="center"/>
          </w:tcPr>
          <w:p w14:paraId="6D5064C5">
            <w:pPr>
              <w:jc w:val="center"/>
              <w:rPr>
                <w:rFonts w:ascii="仿宋_GB2312" w:eastAsia="仿宋_GB2312"/>
                <w:sz w:val="24"/>
              </w:rPr>
            </w:pPr>
            <w:r>
              <w:rPr>
                <w:rFonts w:hint="eastAsia" w:ascii="仿宋_GB2312" w:eastAsia="仿宋_GB2312"/>
                <w:sz w:val="24"/>
              </w:rPr>
              <w:t>审查结果</w:t>
            </w:r>
          </w:p>
        </w:tc>
        <w:tc>
          <w:tcPr>
            <w:tcW w:w="7149" w:type="dxa"/>
            <w:gridSpan w:val="6"/>
            <w:vAlign w:val="center"/>
          </w:tcPr>
          <w:p w14:paraId="4036BDF8">
            <w:pPr>
              <w:ind w:firstLine="720" w:firstLineChars="300"/>
              <w:jc w:val="left"/>
              <w:rPr>
                <w:rFonts w:ascii="仿宋_GB2312" w:eastAsia="仿宋_GB2312"/>
                <w:sz w:val="24"/>
              </w:rPr>
            </w:pPr>
            <w:r>
              <w:rPr>
                <w:rFonts w:hint="eastAsia" w:ascii="仿宋_GB2312" w:eastAsia="仿宋_GB2312"/>
                <w:sz w:val="24"/>
              </w:rPr>
              <w:t>本合同不违反法律法规及监管规定，可以进行签订。</w:t>
            </w:r>
          </w:p>
          <w:p w14:paraId="0F22BC39">
            <w:pPr>
              <w:jc w:val="center"/>
              <w:rPr>
                <w:rFonts w:ascii="仿宋_GB2312" w:eastAsia="仿宋_GB2312"/>
              </w:rPr>
            </w:pPr>
            <w:r>
              <w:rPr>
                <w:rFonts w:hint="eastAsia" w:ascii="仿宋_GB2312" w:eastAsia="仿宋_GB2312"/>
                <w:sz w:val="24"/>
              </w:rPr>
              <w:t>建议合同执行部门加强履约监管。</w:t>
            </w:r>
          </w:p>
        </w:tc>
      </w:tr>
      <w:tr w14:paraId="336C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8" w:type="dxa"/>
            <w:vAlign w:val="center"/>
          </w:tcPr>
          <w:p w14:paraId="63282938">
            <w:pPr>
              <w:jc w:val="center"/>
              <w:rPr>
                <w:rFonts w:ascii="仿宋_GB2312" w:eastAsia="仿宋_GB2312"/>
                <w:sz w:val="24"/>
              </w:rPr>
            </w:pPr>
            <w:r>
              <w:rPr>
                <w:rFonts w:hint="eastAsia" w:ascii="仿宋_GB2312" w:eastAsia="仿宋_GB2312"/>
                <w:sz w:val="24"/>
              </w:rPr>
              <w:t>承办业务人员审查意见</w:t>
            </w:r>
          </w:p>
        </w:tc>
        <w:tc>
          <w:tcPr>
            <w:tcW w:w="2913" w:type="dxa"/>
            <w:vAlign w:val="center"/>
          </w:tcPr>
          <w:p w14:paraId="16C23DA3">
            <w:pPr>
              <w:pStyle w:val="2"/>
              <w:rPr>
                <w:rFonts w:ascii="仿宋_GB2312" w:eastAsia="仿宋_GB2312"/>
                <w:b w:val="0"/>
                <w:kern w:val="2"/>
                <w:sz w:val="24"/>
              </w:rPr>
            </w:pPr>
            <w:r>
              <w:rPr>
                <w:rFonts w:hint="eastAsia" w:ascii="仿宋_GB2312" w:eastAsia="仿宋_GB2312" w:cstheme="minorBidi"/>
                <w:b w:val="0"/>
                <w:kern w:val="2"/>
                <w:sz w:val="24"/>
              </w:rPr>
              <w:t xml:space="preserve">签字：  </w:t>
            </w:r>
            <w:r>
              <w:rPr>
                <w:rFonts w:hint="eastAsia" w:ascii="仿宋_GB2312" w:eastAsia="仿宋_GB2312" w:hAnsiTheme="minorHAnsi" w:cstheme="minorBidi"/>
                <w:b w:val="0"/>
                <w:kern w:val="2"/>
                <w:sz w:val="24"/>
              </w:rPr>
              <w:t xml:space="preserve">              </w:t>
            </w:r>
            <w:r>
              <w:rPr>
                <w:rFonts w:hint="eastAsia" w:ascii="仿宋_GB2312" w:eastAsia="仿宋_GB2312"/>
                <w:b w:val="0"/>
                <w:kern w:val="2"/>
                <w:sz w:val="24"/>
              </w:rPr>
              <w:t xml:space="preserve">           </w:t>
            </w:r>
          </w:p>
        </w:tc>
        <w:tc>
          <w:tcPr>
            <w:tcW w:w="1314" w:type="dxa"/>
            <w:gridSpan w:val="3"/>
            <w:vAlign w:val="center"/>
          </w:tcPr>
          <w:p w14:paraId="34C34618">
            <w:pPr>
              <w:jc w:val="center"/>
              <w:rPr>
                <w:rFonts w:ascii="仿宋_GB2312" w:eastAsia="仿宋_GB2312"/>
                <w:sz w:val="24"/>
              </w:rPr>
            </w:pPr>
            <w:r>
              <w:rPr>
                <w:rFonts w:hint="eastAsia" w:ascii="仿宋_GB2312" w:eastAsia="仿宋_GB2312"/>
                <w:sz w:val="24"/>
              </w:rPr>
              <w:t>承办部门负责人审查意见</w:t>
            </w:r>
            <w:r>
              <w:rPr>
                <w:rFonts w:hint="eastAsia" w:ascii="仿宋_GB2312" w:eastAsia="仿宋_GB2312"/>
                <w:sz w:val="24"/>
                <w:lang w:eastAsia="zh-CN"/>
              </w:rPr>
              <w:t>：</w:t>
            </w:r>
          </w:p>
        </w:tc>
        <w:tc>
          <w:tcPr>
            <w:tcW w:w="2922" w:type="dxa"/>
            <w:gridSpan w:val="2"/>
            <w:vAlign w:val="center"/>
          </w:tcPr>
          <w:p w14:paraId="4264E32E">
            <w:pPr>
              <w:pStyle w:val="2"/>
              <w:rPr>
                <w:rFonts w:ascii="仿宋_GB2312" w:eastAsia="仿宋_GB2312"/>
                <w:b w:val="0"/>
                <w:kern w:val="2"/>
                <w:sz w:val="24"/>
              </w:rPr>
            </w:pPr>
            <w:r>
              <w:rPr>
                <w:rFonts w:hint="eastAsia" w:ascii="仿宋_GB2312" w:eastAsia="仿宋_GB2312" w:cstheme="minorBidi"/>
                <w:b w:val="0"/>
                <w:kern w:val="2"/>
                <w:sz w:val="24"/>
              </w:rPr>
              <w:t xml:space="preserve">签字：     </w:t>
            </w:r>
          </w:p>
        </w:tc>
      </w:tr>
      <w:tr w14:paraId="1466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498" w:type="dxa"/>
            <w:vAlign w:val="center"/>
          </w:tcPr>
          <w:p w14:paraId="5A23EA53">
            <w:pPr>
              <w:jc w:val="center"/>
              <w:rPr>
                <w:rFonts w:ascii="仿宋_GB2312" w:eastAsia="仿宋_GB2312"/>
                <w:sz w:val="24"/>
              </w:rPr>
            </w:pPr>
            <w:r>
              <w:rPr>
                <w:rFonts w:hint="eastAsia" w:ascii="仿宋_GB2312" w:eastAsia="仿宋_GB2312"/>
                <w:sz w:val="24"/>
              </w:rPr>
              <w:t>承办业务部门分管领导审查意见</w:t>
            </w:r>
          </w:p>
        </w:tc>
        <w:tc>
          <w:tcPr>
            <w:tcW w:w="7149" w:type="dxa"/>
            <w:gridSpan w:val="6"/>
            <w:vAlign w:val="center"/>
          </w:tcPr>
          <w:p w14:paraId="2EE14D7E">
            <w:pPr>
              <w:jc w:val="center"/>
              <w:rPr>
                <w:rFonts w:ascii="仿宋_GB2312" w:eastAsia="仿宋_GB2312"/>
                <w:sz w:val="24"/>
              </w:rPr>
            </w:pPr>
            <w:r>
              <w:rPr>
                <w:rFonts w:hint="eastAsia" w:ascii="仿宋_GB2312" w:eastAsia="仿宋_GB2312"/>
              </w:rPr>
              <w:t xml:space="preserve">                           </w:t>
            </w:r>
            <w:r>
              <w:rPr>
                <w:rFonts w:hint="eastAsia" w:ascii="仿宋_GB2312" w:eastAsia="仿宋_GB2312"/>
                <w:sz w:val="24"/>
              </w:rPr>
              <w:t>签字：                年   月    日</w:t>
            </w:r>
          </w:p>
        </w:tc>
      </w:tr>
      <w:tr w14:paraId="5F27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8" w:type="dxa"/>
            <w:vAlign w:val="center"/>
          </w:tcPr>
          <w:p w14:paraId="3FD6031E">
            <w:pPr>
              <w:jc w:val="center"/>
              <w:rPr>
                <w:rFonts w:ascii="仿宋_GB2312" w:eastAsia="仿宋_GB2312"/>
                <w:sz w:val="24"/>
              </w:rPr>
            </w:pPr>
            <w:r>
              <w:rPr>
                <w:rFonts w:hint="eastAsia" w:ascii="仿宋_GB2312" w:eastAsia="仿宋_GB2312"/>
                <w:sz w:val="24"/>
              </w:rPr>
              <w:t>公司合规首席管</w:t>
            </w:r>
          </w:p>
        </w:tc>
        <w:tc>
          <w:tcPr>
            <w:tcW w:w="7149" w:type="dxa"/>
            <w:gridSpan w:val="6"/>
            <w:vAlign w:val="center"/>
          </w:tcPr>
          <w:p w14:paraId="10426B9F">
            <w:pPr>
              <w:ind w:firstLine="2880" w:firstLineChars="1200"/>
              <w:rPr>
                <w:rFonts w:ascii="仿宋_GB2312" w:eastAsia="仿宋_GB2312"/>
              </w:rPr>
            </w:pPr>
            <w:r>
              <w:rPr>
                <w:rFonts w:hint="eastAsia" w:ascii="仿宋_GB2312" w:eastAsia="仿宋_GB2312"/>
                <w:sz w:val="24"/>
              </w:rPr>
              <w:t>签字：               年   月    日</w:t>
            </w:r>
          </w:p>
        </w:tc>
      </w:tr>
      <w:tr w14:paraId="4318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1498" w:type="dxa"/>
            <w:vAlign w:val="center"/>
          </w:tcPr>
          <w:p w14:paraId="045F1149">
            <w:pPr>
              <w:jc w:val="center"/>
              <w:rPr>
                <w:rFonts w:ascii="仿宋_GB2312" w:eastAsia="仿宋_GB2312"/>
                <w:sz w:val="24"/>
              </w:rPr>
            </w:pPr>
            <w:r>
              <w:rPr>
                <w:rFonts w:hint="eastAsia" w:ascii="仿宋_GB2312" w:eastAsia="仿宋_GB2312"/>
                <w:sz w:val="24"/>
              </w:rPr>
              <w:t>备 注</w:t>
            </w:r>
          </w:p>
        </w:tc>
        <w:tc>
          <w:tcPr>
            <w:tcW w:w="7149" w:type="dxa"/>
            <w:gridSpan w:val="6"/>
            <w:vAlign w:val="center"/>
          </w:tcPr>
          <w:p w14:paraId="4E26D724">
            <w:pPr>
              <w:ind w:firstLine="480" w:firstLineChars="200"/>
              <w:rPr>
                <w:rFonts w:ascii="仿宋_GB2312" w:eastAsia="仿宋_GB2312"/>
              </w:rPr>
            </w:pPr>
            <w:r>
              <w:rPr>
                <w:rFonts w:hint="eastAsia" w:ascii="仿宋_GB2312" w:eastAsia="仿宋_GB2312"/>
                <w:sz w:val="24"/>
              </w:rPr>
              <w:t>本审查表</w:t>
            </w:r>
            <w:r>
              <w:rPr>
                <w:rFonts w:hint="eastAsia" w:ascii="仿宋_GB2312" w:eastAsia="仿宋_GB2312"/>
                <w:sz w:val="24"/>
                <w:lang w:eastAsia="zh-CN"/>
              </w:rPr>
              <w:t>一式两份</w:t>
            </w:r>
            <w:r>
              <w:rPr>
                <w:rFonts w:hint="eastAsia" w:ascii="仿宋_GB2312" w:eastAsia="仿宋_GB2312"/>
                <w:sz w:val="24"/>
              </w:rPr>
              <w:t>，一份留承办部门保存，一份合规管理办公室保存（含合同一份）。承办部门合规管理员、部门负责人审查意见可附后。</w:t>
            </w:r>
          </w:p>
        </w:tc>
      </w:tr>
    </w:tbl>
    <w:p w14:paraId="1669D320">
      <w:pPr>
        <w:widowControl/>
        <w:tabs>
          <w:tab w:val="left" w:pos="960"/>
        </w:tabs>
        <w:autoSpaceDE w:val="0"/>
        <w:autoSpaceDN w:val="0"/>
        <w:adjustRightInd w:val="0"/>
        <w:snapToGrid w:val="0"/>
        <w:spacing w:line="520" w:lineRule="exact"/>
        <w:jc w:val="left"/>
        <w:textAlignment w:val="baseline"/>
        <w:rPr>
          <w:rFonts w:eastAsia="仿宋_GB2312"/>
          <w:bCs/>
          <w:snapToGrid w:val="0"/>
          <w:color w:val="000000" w:themeColor="text1"/>
          <w:kern w:val="0"/>
          <w:sz w:val="32"/>
          <w:szCs w:val="32"/>
          <w14:textFill>
            <w14:solidFill>
              <w14:schemeClr w14:val="tx1"/>
            </w14:solidFill>
          </w14:textFill>
        </w:rPr>
      </w:pPr>
    </w:p>
    <w:p w14:paraId="74D53934">
      <w:pPr>
        <w:widowControl/>
        <w:tabs>
          <w:tab w:val="left" w:pos="960"/>
        </w:tabs>
        <w:autoSpaceDE w:val="0"/>
        <w:autoSpaceDN w:val="0"/>
        <w:adjustRightInd w:val="0"/>
        <w:snapToGrid w:val="0"/>
        <w:spacing w:line="520" w:lineRule="exact"/>
        <w:jc w:val="left"/>
        <w:textAlignment w:val="baseline"/>
        <w:rPr>
          <w:rFonts w:eastAsia="仿宋_GB2312"/>
          <w:bCs/>
          <w:snapToGrid w:val="0"/>
          <w:color w:val="000000" w:themeColor="text1"/>
          <w:kern w:val="0"/>
          <w:sz w:val="32"/>
          <w:szCs w:val="32"/>
          <w14:textFill>
            <w14:solidFill>
              <w14:schemeClr w14:val="tx1"/>
            </w14:solidFill>
          </w14:textFill>
        </w:rPr>
      </w:pPr>
    </w:p>
    <w:p w14:paraId="33008424">
      <w:pPr>
        <w:widowControl/>
        <w:tabs>
          <w:tab w:val="left" w:pos="960"/>
        </w:tabs>
        <w:autoSpaceDE w:val="0"/>
        <w:autoSpaceDN w:val="0"/>
        <w:adjustRightInd w:val="0"/>
        <w:snapToGrid w:val="0"/>
        <w:spacing w:line="520" w:lineRule="exact"/>
        <w:jc w:val="left"/>
        <w:textAlignment w:val="baseline"/>
        <w:rPr>
          <w:rFonts w:hint="eastAsia" w:ascii="黑体" w:hAnsi="黑体" w:eastAsia="黑体" w:cs="黑体"/>
          <w:bCs/>
          <w:snapToGrid w:val="0"/>
          <w:color w:val="000000" w:themeColor="text1"/>
          <w:kern w:val="0"/>
          <w:sz w:val="32"/>
          <w:szCs w:val="32"/>
          <w:lang w:eastAsia="zh-CN"/>
          <w14:textFill>
            <w14:solidFill>
              <w14:schemeClr w14:val="tx1"/>
            </w14:solidFill>
          </w14:textFill>
        </w:rPr>
      </w:pPr>
      <w:r>
        <w:rPr>
          <w:rFonts w:hint="eastAsia" w:ascii="黑体" w:hAnsi="黑体" w:eastAsia="黑体" w:cs="黑体"/>
          <w:bCs/>
          <w:snapToGrid w:val="0"/>
          <w:color w:val="000000" w:themeColor="text1"/>
          <w:kern w:val="0"/>
          <w:sz w:val="32"/>
          <w:szCs w:val="32"/>
          <w14:textFill>
            <w14:solidFill>
              <w14:schemeClr w14:val="tx1"/>
            </w14:solidFill>
          </w14:textFill>
        </w:rPr>
        <w:t>附表</w:t>
      </w:r>
      <w:r>
        <w:rPr>
          <w:rFonts w:hint="eastAsia" w:ascii="黑体" w:hAnsi="黑体" w:eastAsia="黑体" w:cs="黑体"/>
          <w:bCs/>
          <w:snapToGrid w:val="0"/>
          <w:color w:val="000000" w:themeColor="text1"/>
          <w:kern w:val="0"/>
          <w:sz w:val="32"/>
          <w:szCs w:val="32"/>
          <w:lang w:val="en-US" w:eastAsia="zh-CN"/>
          <w14:textFill>
            <w14:solidFill>
              <w14:schemeClr w14:val="tx1"/>
            </w14:solidFill>
          </w14:textFill>
        </w:rPr>
        <w:t>3</w:t>
      </w:r>
    </w:p>
    <w:p w14:paraId="35DA237C">
      <w:pPr>
        <w:jc w:val="center"/>
        <w:rPr>
          <w:rFonts w:eastAsia="仿宋_GB2312"/>
          <w:bCs/>
          <w:snapToGrid w:val="0"/>
          <w:color w:val="000000" w:themeColor="text1"/>
          <w:kern w:val="0"/>
          <w:sz w:val="32"/>
          <w:szCs w:val="32"/>
          <w14:textFill>
            <w14:solidFill>
              <w14:schemeClr w14:val="tx1"/>
            </w14:solidFill>
          </w14:textFill>
        </w:rPr>
      </w:pPr>
      <w:r>
        <w:rPr>
          <w:rFonts w:hint="eastAsia" w:ascii="黑体" w:hAnsi="黑体" w:eastAsia="黑体" w:cs="黑体"/>
          <w:sz w:val="36"/>
          <w:szCs w:val="36"/>
        </w:rPr>
        <w:t>合规审查表</w:t>
      </w:r>
    </w:p>
    <w:tbl>
      <w:tblPr>
        <w:tblStyle w:val="10"/>
        <w:tblW w:w="8805" w:type="dxa"/>
        <w:tblInd w:w="93" w:type="dxa"/>
        <w:tblLayout w:type="autofit"/>
        <w:tblCellMar>
          <w:top w:w="0" w:type="dxa"/>
          <w:left w:w="108" w:type="dxa"/>
          <w:bottom w:w="0" w:type="dxa"/>
          <w:right w:w="108" w:type="dxa"/>
        </w:tblCellMar>
      </w:tblPr>
      <w:tblGrid>
        <w:gridCol w:w="1635"/>
        <w:gridCol w:w="2235"/>
        <w:gridCol w:w="1845"/>
        <w:gridCol w:w="1080"/>
        <w:gridCol w:w="2010"/>
      </w:tblGrid>
      <w:tr w14:paraId="7A31D5D5">
        <w:tblPrEx>
          <w:tblCellMar>
            <w:top w:w="0" w:type="dxa"/>
            <w:left w:w="108" w:type="dxa"/>
            <w:bottom w:w="0" w:type="dxa"/>
            <w:right w:w="108" w:type="dxa"/>
          </w:tblCellMar>
        </w:tblPrEx>
        <w:trPr>
          <w:trHeight w:val="104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0C900DB0">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事项名称</w:t>
            </w:r>
          </w:p>
        </w:tc>
        <w:tc>
          <w:tcPr>
            <w:tcW w:w="2235" w:type="dxa"/>
            <w:tcBorders>
              <w:top w:val="single" w:color="000000" w:sz="4" w:space="0"/>
              <w:left w:val="single" w:color="000000" w:sz="4" w:space="0"/>
              <w:bottom w:val="single" w:color="000000" w:sz="4" w:space="0"/>
              <w:right w:val="single" w:color="000000" w:sz="4" w:space="0"/>
            </w:tcBorders>
            <w:vAlign w:val="center"/>
          </w:tcPr>
          <w:p w14:paraId="0D69D0EA">
            <w:pPr>
              <w:jc w:val="center"/>
              <w:rPr>
                <w:rFonts w:hint="eastAsia" w:ascii="仿宋_GB2312" w:hAnsi="宋体" w:eastAsia="仿宋_GB2312" w:cs="仿宋_GB2312"/>
                <w:color w:val="000000"/>
                <w:szCs w:val="21"/>
              </w:rPr>
            </w:pPr>
          </w:p>
        </w:tc>
        <w:tc>
          <w:tcPr>
            <w:tcW w:w="1845" w:type="dxa"/>
            <w:vMerge w:val="restart"/>
            <w:tcBorders>
              <w:top w:val="single" w:color="000000" w:sz="4" w:space="0"/>
              <w:left w:val="single" w:color="000000" w:sz="4" w:space="0"/>
              <w:bottom w:val="single" w:color="000000" w:sz="4" w:space="0"/>
              <w:right w:val="single" w:color="000000" w:sz="4" w:space="0"/>
            </w:tcBorders>
            <w:vAlign w:val="center"/>
          </w:tcPr>
          <w:p w14:paraId="2F80486C">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资料名称（可附后）</w:t>
            </w:r>
          </w:p>
        </w:tc>
        <w:tc>
          <w:tcPr>
            <w:tcW w:w="309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67671F8A">
            <w:pPr>
              <w:rPr>
                <w:rFonts w:hint="eastAsia" w:ascii="仿宋_GB2312" w:hAnsi="宋体" w:eastAsia="仿宋_GB2312" w:cs="仿宋_GB2312"/>
                <w:color w:val="000000"/>
                <w:szCs w:val="21"/>
              </w:rPr>
            </w:pPr>
          </w:p>
        </w:tc>
      </w:tr>
      <w:tr w14:paraId="41F9EF3C">
        <w:tblPrEx>
          <w:tblCellMar>
            <w:top w:w="0" w:type="dxa"/>
            <w:left w:w="108" w:type="dxa"/>
            <w:bottom w:w="0" w:type="dxa"/>
            <w:right w:w="108" w:type="dxa"/>
          </w:tblCellMar>
        </w:tblPrEx>
        <w:trPr>
          <w:trHeight w:val="74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64E55160">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承办部门</w:t>
            </w:r>
          </w:p>
        </w:tc>
        <w:tc>
          <w:tcPr>
            <w:tcW w:w="2235" w:type="dxa"/>
            <w:tcBorders>
              <w:top w:val="single" w:color="000000" w:sz="4" w:space="0"/>
              <w:left w:val="single" w:color="000000" w:sz="4" w:space="0"/>
              <w:bottom w:val="single" w:color="000000" w:sz="4" w:space="0"/>
              <w:right w:val="single" w:color="000000" w:sz="4" w:space="0"/>
            </w:tcBorders>
            <w:vAlign w:val="center"/>
          </w:tcPr>
          <w:p w14:paraId="4C6FB999">
            <w:pPr>
              <w:jc w:val="center"/>
              <w:rPr>
                <w:rFonts w:hint="eastAsia" w:ascii="仿宋_GB2312" w:hAnsi="宋体" w:eastAsia="仿宋_GB2312" w:cs="仿宋_GB2312"/>
                <w:color w:val="000000"/>
                <w:szCs w:val="21"/>
              </w:rPr>
            </w:pPr>
          </w:p>
        </w:tc>
        <w:tc>
          <w:tcPr>
            <w:tcW w:w="1845" w:type="dxa"/>
            <w:vMerge w:val="continue"/>
            <w:tcBorders>
              <w:top w:val="single" w:color="000000" w:sz="4" w:space="0"/>
              <w:left w:val="single" w:color="000000" w:sz="4" w:space="0"/>
              <w:bottom w:val="single" w:color="000000" w:sz="4" w:space="0"/>
              <w:right w:val="single" w:color="000000" w:sz="4" w:space="0"/>
            </w:tcBorders>
            <w:vAlign w:val="center"/>
          </w:tcPr>
          <w:p w14:paraId="753007BB">
            <w:pPr>
              <w:jc w:val="center"/>
              <w:rPr>
                <w:rFonts w:hint="eastAsia" w:ascii="仿宋_GB2312" w:hAnsi="宋体" w:eastAsia="仿宋_GB2312" w:cs="仿宋_GB2312"/>
                <w:color w:val="000000"/>
                <w:sz w:val="24"/>
              </w:rPr>
            </w:pPr>
          </w:p>
        </w:tc>
        <w:tc>
          <w:tcPr>
            <w:tcW w:w="3090"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EA59961">
            <w:pPr>
              <w:rPr>
                <w:rFonts w:hint="eastAsia" w:ascii="仿宋_GB2312" w:hAnsi="宋体" w:eastAsia="仿宋_GB2312" w:cs="仿宋_GB2312"/>
                <w:color w:val="000000"/>
                <w:szCs w:val="21"/>
              </w:rPr>
            </w:pPr>
          </w:p>
        </w:tc>
      </w:tr>
      <w:tr w14:paraId="55B6497A">
        <w:tblPrEx>
          <w:tblCellMar>
            <w:top w:w="0" w:type="dxa"/>
            <w:left w:w="108" w:type="dxa"/>
            <w:bottom w:w="0" w:type="dxa"/>
            <w:right w:w="108" w:type="dxa"/>
          </w:tblCellMar>
        </w:tblPrEx>
        <w:trPr>
          <w:trHeight w:val="540" w:hRule="atLeast"/>
        </w:trPr>
        <w:tc>
          <w:tcPr>
            <w:tcW w:w="8805" w:type="dxa"/>
            <w:gridSpan w:val="5"/>
            <w:tcBorders>
              <w:top w:val="single" w:color="000000" w:sz="4" w:space="0"/>
              <w:left w:val="single" w:color="000000" w:sz="4" w:space="0"/>
              <w:bottom w:val="single" w:color="000000" w:sz="4" w:space="0"/>
              <w:right w:val="single" w:color="000000" w:sz="4" w:space="0"/>
            </w:tcBorders>
            <w:vAlign w:val="center"/>
          </w:tcPr>
          <w:p w14:paraId="2C5BB833">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审查范围</w:t>
            </w:r>
          </w:p>
        </w:tc>
      </w:tr>
      <w:tr w14:paraId="4D9FEFF9">
        <w:tblPrEx>
          <w:tblCellMar>
            <w:top w:w="0" w:type="dxa"/>
            <w:left w:w="108" w:type="dxa"/>
            <w:bottom w:w="0" w:type="dxa"/>
            <w:right w:w="108" w:type="dxa"/>
          </w:tblCellMar>
        </w:tblPrEx>
        <w:trPr>
          <w:trHeight w:val="1155"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4D2DBC10">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权限审查</w:t>
            </w:r>
          </w:p>
        </w:tc>
        <w:tc>
          <w:tcPr>
            <w:tcW w:w="5160" w:type="dxa"/>
            <w:gridSpan w:val="3"/>
            <w:tcBorders>
              <w:top w:val="single" w:color="000000" w:sz="4" w:space="0"/>
              <w:left w:val="single" w:color="000000" w:sz="4" w:space="0"/>
              <w:bottom w:val="single" w:color="000000" w:sz="4" w:space="0"/>
              <w:right w:val="single" w:color="000000" w:sz="4" w:space="0"/>
            </w:tcBorders>
            <w:vAlign w:val="center"/>
          </w:tcPr>
          <w:p w14:paraId="6E949D7B">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是否属于</w:t>
            </w:r>
            <w:r>
              <w:rPr>
                <w:rFonts w:hint="eastAsia" w:ascii="仿宋_GB2312" w:hAnsi="宋体" w:eastAsia="仿宋_GB2312" w:cs="仿宋_GB2312"/>
                <w:color w:val="000000"/>
                <w:kern w:val="0"/>
                <w:sz w:val="24"/>
                <w:lang w:eastAsia="zh-CN" w:bidi="ar"/>
              </w:rPr>
              <w:t>法律法规</w:t>
            </w:r>
            <w:r>
              <w:rPr>
                <w:rFonts w:ascii="仿宋_GB2312" w:hAnsi="宋体" w:eastAsia="仿宋_GB2312" w:cs="仿宋_GB2312"/>
                <w:color w:val="000000"/>
                <w:kern w:val="0"/>
                <w:sz w:val="24"/>
                <w:lang w:bidi="ar"/>
              </w:rPr>
              <w:t>、政策、国资监管规定等，以及公司章程、规章制度规定的职责权限范围。</w:t>
            </w:r>
          </w:p>
        </w:tc>
        <w:tc>
          <w:tcPr>
            <w:tcW w:w="2010" w:type="dxa"/>
            <w:tcBorders>
              <w:top w:val="single" w:color="000000" w:sz="4" w:space="0"/>
              <w:left w:val="single" w:color="000000" w:sz="4" w:space="0"/>
              <w:bottom w:val="single" w:color="000000" w:sz="4" w:space="0"/>
              <w:right w:val="single" w:color="000000" w:sz="4" w:space="0"/>
            </w:tcBorders>
            <w:vAlign w:val="center"/>
          </w:tcPr>
          <w:p w14:paraId="566A788F">
            <w:pPr>
              <w:jc w:val="center"/>
              <w:rPr>
                <w:rFonts w:hint="eastAsia" w:ascii="仿宋_GB2312" w:hAnsi="宋体" w:eastAsia="仿宋_GB2312" w:cs="仿宋_GB2312"/>
                <w:color w:val="000000"/>
                <w:szCs w:val="21"/>
              </w:rPr>
            </w:pPr>
          </w:p>
        </w:tc>
      </w:tr>
      <w:tr w14:paraId="38DA0051">
        <w:tblPrEx>
          <w:tblCellMar>
            <w:top w:w="0" w:type="dxa"/>
            <w:left w:w="108" w:type="dxa"/>
            <w:bottom w:w="0" w:type="dxa"/>
            <w:right w:w="108" w:type="dxa"/>
          </w:tblCellMar>
        </w:tblPrEx>
        <w:trPr>
          <w:trHeight w:val="1155"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0BC5FE20">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程序审查</w:t>
            </w:r>
          </w:p>
        </w:tc>
        <w:tc>
          <w:tcPr>
            <w:tcW w:w="5160" w:type="dxa"/>
            <w:gridSpan w:val="3"/>
            <w:tcBorders>
              <w:top w:val="single" w:color="000000" w:sz="4" w:space="0"/>
              <w:left w:val="single" w:color="000000" w:sz="4" w:space="0"/>
              <w:bottom w:val="single" w:color="000000" w:sz="4" w:space="0"/>
              <w:right w:val="single" w:color="000000" w:sz="4" w:space="0"/>
            </w:tcBorders>
            <w:vAlign w:val="center"/>
          </w:tcPr>
          <w:p w14:paraId="45B2BCDC">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是否符合</w:t>
            </w:r>
            <w:r>
              <w:rPr>
                <w:rFonts w:hint="eastAsia" w:ascii="仿宋_GB2312" w:hAnsi="宋体" w:eastAsia="仿宋_GB2312" w:cs="仿宋_GB2312"/>
                <w:color w:val="000000"/>
                <w:kern w:val="0"/>
                <w:sz w:val="24"/>
                <w:lang w:eastAsia="zh-CN" w:bidi="ar"/>
              </w:rPr>
              <w:t>法律法规</w:t>
            </w:r>
            <w:r>
              <w:rPr>
                <w:rFonts w:ascii="仿宋_GB2312" w:hAnsi="宋体" w:eastAsia="仿宋_GB2312" w:cs="仿宋_GB2312"/>
                <w:color w:val="000000"/>
                <w:kern w:val="0"/>
                <w:sz w:val="24"/>
                <w:lang w:bidi="ar"/>
              </w:rPr>
              <w:t>、政策、国资监管规定等，以及公司章程、规章制度等规定的程序要求。</w:t>
            </w:r>
          </w:p>
        </w:tc>
        <w:tc>
          <w:tcPr>
            <w:tcW w:w="2010" w:type="dxa"/>
            <w:tcBorders>
              <w:top w:val="single" w:color="000000" w:sz="4" w:space="0"/>
              <w:left w:val="single" w:color="000000" w:sz="4" w:space="0"/>
              <w:bottom w:val="single" w:color="000000" w:sz="4" w:space="0"/>
              <w:right w:val="single" w:color="000000" w:sz="4" w:space="0"/>
            </w:tcBorders>
            <w:vAlign w:val="center"/>
          </w:tcPr>
          <w:p w14:paraId="75041657">
            <w:pPr>
              <w:jc w:val="center"/>
              <w:rPr>
                <w:rFonts w:hint="eastAsia" w:ascii="仿宋_GB2312" w:hAnsi="宋体" w:eastAsia="仿宋_GB2312" w:cs="仿宋_GB2312"/>
                <w:color w:val="000000"/>
                <w:szCs w:val="21"/>
              </w:rPr>
            </w:pPr>
          </w:p>
        </w:tc>
      </w:tr>
      <w:tr w14:paraId="795126FE">
        <w:tblPrEx>
          <w:tblCellMar>
            <w:top w:w="0" w:type="dxa"/>
            <w:left w:w="108" w:type="dxa"/>
            <w:bottom w:w="0" w:type="dxa"/>
            <w:right w:w="108" w:type="dxa"/>
          </w:tblCellMar>
        </w:tblPrEx>
        <w:trPr>
          <w:trHeight w:val="315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1E4AEEE2">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内容审查</w:t>
            </w:r>
          </w:p>
        </w:tc>
        <w:tc>
          <w:tcPr>
            <w:tcW w:w="5160" w:type="dxa"/>
            <w:gridSpan w:val="3"/>
            <w:tcBorders>
              <w:top w:val="single" w:color="000000" w:sz="4" w:space="0"/>
              <w:left w:val="single" w:color="000000" w:sz="4" w:space="0"/>
              <w:bottom w:val="single" w:color="000000" w:sz="4" w:space="0"/>
              <w:right w:val="single" w:color="000000" w:sz="4" w:space="0"/>
            </w:tcBorders>
            <w:vAlign w:val="center"/>
          </w:tcPr>
          <w:p w14:paraId="3BBB0435">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是否存在违反</w:t>
            </w:r>
            <w:r>
              <w:rPr>
                <w:rFonts w:hint="eastAsia" w:ascii="仿宋_GB2312" w:hAnsi="宋体" w:eastAsia="仿宋_GB2312" w:cs="仿宋_GB2312"/>
                <w:color w:val="000000"/>
                <w:kern w:val="0"/>
                <w:sz w:val="24"/>
                <w:lang w:eastAsia="zh-CN" w:bidi="ar"/>
              </w:rPr>
              <w:t>法律法规</w:t>
            </w:r>
            <w:r>
              <w:rPr>
                <w:rFonts w:ascii="仿宋_GB2312" w:hAnsi="宋体" w:eastAsia="仿宋_GB2312" w:cs="仿宋_GB2312"/>
                <w:color w:val="000000"/>
                <w:kern w:val="0"/>
                <w:sz w:val="24"/>
                <w:lang w:bidi="ar"/>
              </w:rPr>
              <w:t>、政策、国资监管规定等，以及公司章程、规章制度等规定的内容；是否存在显失公平、重大风险隐患或损害公司重大利益等内容。新制（修）定（订）规章制度内容与其他规章制度冲突或存在协调性、衔接问题的，要制订或提出可行的解决方案，比如修订或废止其他规章制度。</w:t>
            </w:r>
          </w:p>
        </w:tc>
        <w:tc>
          <w:tcPr>
            <w:tcW w:w="2010" w:type="dxa"/>
            <w:tcBorders>
              <w:top w:val="single" w:color="000000" w:sz="4" w:space="0"/>
              <w:left w:val="single" w:color="000000" w:sz="4" w:space="0"/>
              <w:bottom w:val="single" w:color="000000" w:sz="4" w:space="0"/>
              <w:right w:val="single" w:color="000000" w:sz="4" w:space="0"/>
            </w:tcBorders>
            <w:vAlign w:val="center"/>
          </w:tcPr>
          <w:p w14:paraId="109D3043">
            <w:pPr>
              <w:jc w:val="center"/>
              <w:rPr>
                <w:rFonts w:hint="eastAsia" w:ascii="仿宋_GB2312" w:hAnsi="宋体" w:eastAsia="仿宋_GB2312" w:cs="仿宋_GB2312"/>
                <w:color w:val="000000"/>
                <w:szCs w:val="21"/>
              </w:rPr>
            </w:pPr>
          </w:p>
        </w:tc>
      </w:tr>
      <w:tr w14:paraId="03B3C61B">
        <w:tblPrEx>
          <w:tblCellMar>
            <w:top w:w="0" w:type="dxa"/>
            <w:left w:w="108" w:type="dxa"/>
            <w:bottom w:w="0" w:type="dxa"/>
            <w:right w:w="108" w:type="dxa"/>
          </w:tblCellMar>
        </w:tblPrEx>
        <w:trPr>
          <w:trHeight w:val="132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3951E85E">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承办</w:t>
            </w:r>
            <w:r>
              <w:rPr>
                <w:rFonts w:hint="eastAsia" w:ascii="仿宋_GB2312" w:eastAsia="仿宋_GB2312"/>
                <w:sz w:val="24"/>
              </w:rPr>
              <w:t>业务</w:t>
            </w:r>
            <w:r>
              <w:rPr>
                <w:rFonts w:ascii="仿宋_GB2312" w:hAnsi="宋体" w:eastAsia="仿宋_GB2312" w:cs="仿宋_GB2312"/>
                <w:color w:val="000000"/>
                <w:kern w:val="0"/>
                <w:sz w:val="24"/>
                <w:lang w:bidi="ar"/>
              </w:rPr>
              <w:t>部门合规管理员审查意见</w:t>
            </w:r>
          </w:p>
        </w:tc>
        <w:tc>
          <w:tcPr>
            <w:tcW w:w="7170" w:type="dxa"/>
            <w:gridSpan w:val="4"/>
            <w:tcBorders>
              <w:top w:val="single" w:color="000000" w:sz="4" w:space="0"/>
              <w:left w:val="single" w:color="000000" w:sz="4" w:space="0"/>
              <w:bottom w:val="single" w:color="000000" w:sz="4" w:space="0"/>
              <w:right w:val="single" w:color="000000" w:sz="4" w:space="0"/>
            </w:tcBorders>
            <w:vAlign w:val="center"/>
          </w:tcPr>
          <w:p w14:paraId="164C2F00">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 xml:space="preserve">                        签字：                年   月   日 </w:t>
            </w:r>
            <w:r>
              <w:rPr>
                <w:rStyle w:val="22"/>
                <w:rFonts w:hint="default"/>
                <w:lang w:bidi="ar"/>
              </w:rPr>
              <w:t xml:space="preserve">                                            </w:t>
            </w:r>
          </w:p>
        </w:tc>
      </w:tr>
      <w:tr w14:paraId="19CFDAF9">
        <w:tblPrEx>
          <w:tblCellMar>
            <w:top w:w="0" w:type="dxa"/>
            <w:left w:w="108" w:type="dxa"/>
            <w:bottom w:w="0" w:type="dxa"/>
            <w:right w:w="108" w:type="dxa"/>
          </w:tblCellMar>
        </w:tblPrEx>
        <w:trPr>
          <w:trHeight w:val="102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22C3A8A4">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承办</w:t>
            </w:r>
            <w:r>
              <w:rPr>
                <w:rFonts w:hint="eastAsia" w:ascii="仿宋_GB2312" w:hAnsi="宋体" w:eastAsia="仿宋_GB2312" w:cs="仿宋_GB2312"/>
                <w:color w:val="000000"/>
                <w:kern w:val="0"/>
                <w:sz w:val="24"/>
                <w:lang w:bidi="ar"/>
              </w:rPr>
              <w:t>业务</w:t>
            </w:r>
            <w:r>
              <w:rPr>
                <w:rFonts w:ascii="仿宋_GB2312" w:hAnsi="宋体" w:eastAsia="仿宋_GB2312" w:cs="仿宋_GB2312"/>
                <w:color w:val="000000"/>
                <w:kern w:val="0"/>
                <w:sz w:val="24"/>
                <w:lang w:bidi="ar"/>
              </w:rPr>
              <w:t>部门负责人审查意见</w:t>
            </w:r>
          </w:p>
        </w:tc>
        <w:tc>
          <w:tcPr>
            <w:tcW w:w="7170" w:type="dxa"/>
            <w:gridSpan w:val="4"/>
            <w:tcBorders>
              <w:top w:val="single" w:color="000000" w:sz="4" w:space="0"/>
              <w:left w:val="single" w:color="000000" w:sz="4" w:space="0"/>
              <w:bottom w:val="single" w:color="000000" w:sz="4" w:space="0"/>
              <w:right w:val="single" w:color="000000" w:sz="4" w:space="0"/>
            </w:tcBorders>
            <w:vAlign w:val="center"/>
          </w:tcPr>
          <w:p w14:paraId="47296336">
            <w:pPr>
              <w:widowControl/>
              <w:jc w:val="center"/>
              <w:textAlignment w:val="center"/>
              <w:rPr>
                <w:rFonts w:hint="eastAsia" w:ascii="仿宋_GB2312" w:hAnsi="宋体" w:eastAsia="仿宋_GB2312" w:cs="仿宋_GB2312"/>
                <w:color w:val="000000"/>
                <w:szCs w:val="21"/>
              </w:rPr>
            </w:pPr>
            <w:r>
              <w:rPr>
                <w:rFonts w:ascii="仿宋_GB2312" w:hAnsi="宋体" w:eastAsia="仿宋_GB2312" w:cs="仿宋_GB2312"/>
                <w:color w:val="000000"/>
                <w:kern w:val="0"/>
                <w:szCs w:val="21"/>
                <w:lang w:bidi="ar"/>
              </w:rPr>
              <w:t xml:space="preserve">                       </w:t>
            </w:r>
            <w:r>
              <w:rPr>
                <w:rFonts w:ascii="仿宋_GB2312" w:hAnsi="宋体" w:eastAsia="仿宋_GB2312" w:cs="仿宋_GB2312"/>
                <w:color w:val="000000"/>
                <w:kern w:val="0"/>
                <w:sz w:val="24"/>
                <w:lang w:bidi="ar"/>
              </w:rPr>
              <w:t xml:space="preserve">    签字：               年   月    日</w:t>
            </w:r>
          </w:p>
        </w:tc>
      </w:tr>
      <w:tr w14:paraId="0DA4ABEF">
        <w:tblPrEx>
          <w:tblCellMar>
            <w:top w:w="0" w:type="dxa"/>
            <w:left w:w="108" w:type="dxa"/>
            <w:bottom w:w="0" w:type="dxa"/>
            <w:right w:w="108" w:type="dxa"/>
          </w:tblCellMar>
        </w:tblPrEx>
        <w:trPr>
          <w:trHeight w:val="96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28AD478E">
            <w:pPr>
              <w:widowControl/>
              <w:jc w:val="center"/>
              <w:textAlignment w:val="center"/>
              <w:rPr>
                <w:rFonts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承办</w:t>
            </w:r>
            <w:r>
              <w:rPr>
                <w:rFonts w:hint="eastAsia" w:ascii="仿宋_GB2312" w:hAnsi="宋体" w:eastAsia="仿宋_GB2312" w:cs="仿宋_GB2312"/>
                <w:color w:val="000000"/>
                <w:kern w:val="0"/>
                <w:sz w:val="24"/>
                <w:lang w:bidi="ar"/>
              </w:rPr>
              <w:t>业务</w:t>
            </w:r>
            <w:r>
              <w:rPr>
                <w:rFonts w:ascii="仿宋_GB2312" w:hAnsi="宋体" w:eastAsia="仿宋_GB2312" w:cs="仿宋_GB2312"/>
                <w:color w:val="000000"/>
                <w:kern w:val="0"/>
                <w:sz w:val="24"/>
                <w:lang w:bidi="ar"/>
              </w:rPr>
              <w:t>部门</w:t>
            </w:r>
            <w:r>
              <w:rPr>
                <w:rFonts w:hint="eastAsia" w:ascii="仿宋_GB2312" w:hAnsi="宋体" w:eastAsia="仿宋_GB2312" w:cs="仿宋_GB2312"/>
                <w:color w:val="000000"/>
                <w:kern w:val="0"/>
                <w:sz w:val="24"/>
                <w:lang w:val="en-US" w:eastAsia="zh-CN" w:bidi="ar"/>
              </w:rPr>
              <w:t>分管领导</w:t>
            </w:r>
            <w:r>
              <w:rPr>
                <w:rFonts w:ascii="仿宋_GB2312" w:hAnsi="宋体" w:eastAsia="仿宋_GB2312" w:cs="仿宋_GB2312"/>
                <w:color w:val="000000"/>
                <w:kern w:val="0"/>
                <w:sz w:val="24"/>
                <w:lang w:bidi="ar"/>
              </w:rPr>
              <w:t>审查意见</w:t>
            </w:r>
          </w:p>
        </w:tc>
        <w:tc>
          <w:tcPr>
            <w:tcW w:w="7170" w:type="dxa"/>
            <w:gridSpan w:val="4"/>
            <w:tcBorders>
              <w:top w:val="single" w:color="000000" w:sz="4" w:space="0"/>
              <w:left w:val="single" w:color="000000" w:sz="4" w:space="0"/>
              <w:bottom w:val="single" w:color="000000" w:sz="4" w:space="0"/>
              <w:right w:val="single" w:color="000000" w:sz="4" w:space="0"/>
            </w:tcBorders>
            <w:vAlign w:val="center"/>
          </w:tcPr>
          <w:p w14:paraId="102425CB">
            <w:pPr>
              <w:widowControl/>
              <w:ind w:firstLine="2880" w:firstLineChars="1200"/>
              <w:textAlignment w:val="center"/>
              <w:rPr>
                <w:rFonts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签字：                年   月   日</w:t>
            </w:r>
          </w:p>
        </w:tc>
      </w:tr>
      <w:tr w14:paraId="079EC964">
        <w:tblPrEx>
          <w:tblCellMar>
            <w:top w:w="0" w:type="dxa"/>
            <w:left w:w="108" w:type="dxa"/>
            <w:bottom w:w="0" w:type="dxa"/>
            <w:right w:w="108" w:type="dxa"/>
          </w:tblCellMar>
        </w:tblPrEx>
        <w:trPr>
          <w:trHeight w:val="960" w:hRule="atLeast"/>
        </w:trPr>
        <w:tc>
          <w:tcPr>
            <w:tcW w:w="1635" w:type="dxa"/>
            <w:tcBorders>
              <w:top w:val="single" w:color="000000" w:sz="4" w:space="0"/>
              <w:left w:val="single" w:color="000000" w:sz="4" w:space="0"/>
              <w:bottom w:val="single" w:color="000000" w:sz="4" w:space="0"/>
              <w:right w:val="single" w:color="000000" w:sz="4" w:space="0"/>
            </w:tcBorders>
            <w:vAlign w:val="center"/>
          </w:tcPr>
          <w:p w14:paraId="56103974">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备 注</w:t>
            </w:r>
          </w:p>
        </w:tc>
        <w:tc>
          <w:tcPr>
            <w:tcW w:w="7170" w:type="dxa"/>
            <w:gridSpan w:val="4"/>
            <w:tcBorders>
              <w:top w:val="single" w:color="000000" w:sz="4" w:space="0"/>
              <w:left w:val="single" w:color="000000" w:sz="4" w:space="0"/>
              <w:bottom w:val="single" w:color="000000" w:sz="4" w:space="0"/>
              <w:right w:val="single" w:color="000000" w:sz="4" w:space="0"/>
            </w:tcBorders>
            <w:vAlign w:val="center"/>
          </w:tcPr>
          <w:p w14:paraId="4778FD6B">
            <w:pPr>
              <w:widowControl/>
              <w:ind w:firstLine="480" w:firstLineChars="200"/>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本审查表</w:t>
            </w:r>
            <w:r>
              <w:rPr>
                <w:rFonts w:hint="eastAsia" w:ascii="仿宋_GB2312" w:hAnsi="宋体" w:eastAsia="仿宋_GB2312" w:cs="仿宋_GB2312"/>
                <w:color w:val="000000"/>
                <w:kern w:val="0"/>
                <w:sz w:val="24"/>
                <w:lang w:eastAsia="zh-CN" w:bidi="ar"/>
              </w:rPr>
              <w:t>一式两份</w:t>
            </w:r>
            <w:r>
              <w:rPr>
                <w:rFonts w:ascii="仿宋_GB2312" w:hAnsi="宋体" w:eastAsia="仿宋_GB2312" w:cs="仿宋_GB2312"/>
                <w:color w:val="000000"/>
                <w:kern w:val="0"/>
                <w:sz w:val="24"/>
                <w:lang w:bidi="ar"/>
              </w:rPr>
              <w:t>，一份留承办部门保存，一份合规管理办公室保存。承办部门合规管理员、部门负责人审查意见可附后。</w:t>
            </w:r>
          </w:p>
        </w:tc>
      </w:tr>
    </w:tbl>
    <w:p w14:paraId="513A8396">
      <w:pPr>
        <w:widowControl/>
        <w:tabs>
          <w:tab w:val="left" w:pos="960"/>
        </w:tabs>
        <w:autoSpaceDE w:val="0"/>
        <w:autoSpaceDN w:val="0"/>
        <w:adjustRightInd w:val="0"/>
        <w:snapToGrid w:val="0"/>
        <w:spacing w:line="520" w:lineRule="exact"/>
        <w:jc w:val="left"/>
        <w:textAlignment w:val="baseline"/>
        <w:rPr>
          <w:rFonts w:hint="eastAsia" w:ascii="黑体" w:hAnsi="黑体" w:eastAsia="黑体" w:cs="黑体"/>
          <w:bCs/>
          <w:snapToGrid w:val="0"/>
          <w:color w:val="000000" w:themeColor="text1"/>
          <w:kern w:val="0"/>
          <w:sz w:val="32"/>
          <w:szCs w:val="32"/>
          <w14:textFill>
            <w14:solidFill>
              <w14:schemeClr w14:val="tx1"/>
            </w14:solidFill>
          </w14:textFill>
        </w:rPr>
      </w:pPr>
      <w:r>
        <w:rPr>
          <w:rFonts w:hint="eastAsia" w:ascii="黑体" w:hAnsi="黑体" w:eastAsia="黑体" w:cs="黑体"/>
          <w:bCs/>
          <w:snapToGrid w:val="0"/>
          <w:color w:val="000000" w:themeColor="text1"/>
          <w:kern w:val="0"/>
          <w:sz w:val="32"/>
          <w:szCs w:val="32"/>
          <w14:textFill>
            <w14:solidFill>
              <w14:schemeClr w14:val="tx1"/>
            </w14:solidFill>
          </w14:textFill>
        </w:rPr>
        <w:t>附表4</w:t>
      </w:r>
    </w:p>
    <w:p w14:paraId="4CD6EE2E">
      <w:pPr>
        <w:jc w:val="center"/>
        <w:rPr>
          <w:rFonts w:hint="eastAsia" w:ascii="黑体" w:hAnsi="黑体" w:eastAsia="黑体" w:cs="黑体"/>
          <w:sz w:val="36"/>
          <w:szCs w:val="36"/>
        </w:rPr>
      </w:pPr>
      <w:r>
        <w:rPr>
          <w:rFonts w:hint="eastAsia" w:ascii="黑体" w:hAnsi="黑体" w:eastAsia="黑体" w:cs="黑体"/>
          <w:sz w:val="36"/>
          <w:szCs w:val="36"/>
        </w:rPr>
        <w:t>合规管理工作考核评价表</w:t>
      </w:r>
    </w:p>
    <w:tbl>
      <w:tblPr>
        <w:tblStyle w:val="10"/>
        <w:tblW w:w="9842" w:type="dxa"/>
        <w:tblInd w:w="-251" w:type="dxa"/>
        <w:tblLayout w:type="fixed"/>
        <w:tblCellMar>
          <w:top w:w="0" w:type="dxa"/>
          <w:left w:w="108" w:type="dxa"/>
          <w:bottom w:w="0" w:type="dxa"/>
          <w:right w:w="108" w:type="dxa"/>
        </w:tblCellMar>
      </w:tblPr>
      <w:tblGrid>
        <w:gridCol w:w="470"/>
        <w:gridCol w:w="6230"/>
        <w:gridCol w:w="1240"/>
        <w:gridCol w:w="1902"/>
      </w:tblGrid>
      <w:tr w14:paraId="0B6376E8">
        <w:tblPrEx>
          <w:tblCellMar>
            <w:top w:w="0" w:type="dxa"/>
            <w:left w:w="108" w:type="dxa"/>
            <w:bottom w:w="0" w:type="dxa"/>
            <w:right w:w="108" w:type="dxa"/>
          </w:tblCellMar>
        </w:tblPrEx>
        <w:trPr>
          <w:trHeight w:val="317"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6C7C28A2">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序号</w:t>
            </w:r>
          </w:p>
        </w:tc>
        <w:tc>
          <w:tcPr>
            <w:tcW w:w="6230" w:type="dxa"/>
            <w:tcBorders>
              <w:top w:val="single" w:color="000000" w:sz="4" w:space="0"/>
              <w:left w:val="single" w:color="000000" w:sz="4" w:space="0"/>
              <w:bottom w:val="single" w:color="000000" w:sz="4" w:space="0"/>
              <w:right w:val="single" w:color="000000" w:sz="4" w:space="0"/>
            </w:tcBorders>
            <w:noWrap/>
            <w:vAlign w:val="center"/>
          </w:tcPr>
          <w:p w14:paraId="722FCB74">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要素及标准</w:t>
            </w:r>
          </w:p>
        </w:tc>
        <w:tc>
          <w:tcPr>
            <w:tcW w:w="1240" w:type="dxa"/>
            <w:tcBorders>
              <w:top w:val="single" w:color="000000" w:sz="4" w:space="0"/>
              <w:left w:val="single" w:color="000000" w:sz="4" w:space="0"/>
              <w:bottom w:val="single" w:color="000000" w:sz="4" w:space="0"/>
              <w:right w:val="single" w:color="000000" w:sz="4" w:space="0"/>
            </w:tcBorders>
            <w:noWrap/>
            <w:vAlign w:val="center"/>
          </w:tcPr>
          <w:p w14:paraId="2E9D240B">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完成情况</w:t>
            </w:r>
          </w:p>
        </w:tc>
        <w:tc>
          <w:tcPr>
            <w:tcW w:w="1902" w:type="dxa"/>
            <w:tcBorders>
              <w:top w:val="single" w:color="000000" w:sz="4" w:space="0"/>
              <w:left w:val="single" w:color="000000" w:sz="4" w:space="0"/>
              <w:bottom w:val="single" w:color="000000" w:sz="4" w:space="0"/>
              <w:right w:val="single" w:color="000000" w:sz="4" w:space="0"/>
            </w:tcBorders>
            <w:noWrap/>
            <w:vAlign w:val="center"/>
          </w:tcPr>
          <w:p w14:paraId="5D7C7A0F">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依据或事实材料</w:t>
            </w:r>
          </w:p>
        </w:tc>
      </w:tr>
      <w:tr w14:paraId="7AD99B4E">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01D55383">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w:t>
            </w:r>
          </w:p>
        </w:tc>
        <w:tc>
          <w:tcPr>
            <w:tcW w:w="6230" w:type="dxa"/>
            <w:tcBorders>
              <w:top w:val="single" w:color="000000" w:sz="4" w:space="0"/>
              <w:left w:val="single" w:color="000000" w:sz="4" w:space="0"/>
              <w:bottom w:val="single" w:color="000000" w:sz="4" w:space="0"/>
              <w:right w:val="single" w:color="000000" w:sz="4" w:space="0"/>
            </w:tcBorders>
            <w:vAlign w:val="center"/>
          </w:tcPr>
          <w:p w14:paraId="6FF18907">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是否指定合规管理员</w:t>
            </w:r>
          </w:p>
        </w:tc>
        <w:tc>
          <w:tcPr>
            <w:tcW w:w="1240" w:type="dxa"/>
            <w:tcBorders>
              <w:top w:val="single" w:color="000000" w:sz="4" w:space="0"/>
              <w:left w:val="single" w:color="000000" w:sz="4" w:space="0"/>
              <w:bottom w:val="single" w:color="000000" w:sz="4" w:space="0"/>
              <w:right w:val="single" w:color="000000" w:sz="4" w:space="0"/>
            </w:tcBorders>
            <w:vAlign w:val="center"/>
          </w:tcPr>
          <w:p w14:paraId="2022B37B">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6E4C294F">
            <w:pPr>
              <w:jc w:val="left"/>
              <w:rPr>
                <w:rFonts w:hint="eastAsia" w:ascii="仿宋_GB2312" w:hAnsi="宋体" w:eastAsia="仿宋_GB2312" w:cs="仿宋_GB2312"/>
                <w:color w:val="000000"/>
                <w:sz w:val="24"/>
              </w:rPr>
            </w:pPr>
          </w:p>
        </w:tc>
      </w:tr>
      <w:tr w14:paraId="5A772DD6">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0927F6DA">
            <w:pPr>
              <w:widowControl/>
              <w:jc w:val="center"/>
              <w:textAlignment w:val="center"/>
              <w:rPr>
                <w:rFonts w:hint="eastAsia" w:ascii="仿宋_GB2312" w:hAnsi="宋体" w:eastAsia="仿宋_GB2312" w:cs="仿宋_GB2312"/>
                <w:color w:val="000000"/>
                <w:kern w:val="0"/>
                <w:sz w:val="24"/>
                <w:lang w:bidi="ar"/>
              </w:rPr>
            </w:pPr>
            <w:r>
              <w:rPr>
                <w:rFonts w:hint="eastAsia" w:ascii="仿宋_GB2312" w:hAnsi="宋体" w:eastAsia="仿宋_GB2312" w:cs="仿宋_GB2312"/>
                <w:color w:val="000000"/>
                <w:kern w:val="0"/>
                <w:sz w:val="24"/>
                <w:lang w:bidi="ar"/>
              </w:rPr>
              <w:t>2</w:t>
            </w:r>
          </w:p>
        </w:tc>
        <w:tc>
          <w:tcPr>
            <w:tcW w:w="6230" w:type="dxa"/>
            <w:tcBorders>
              <w:top w:val="single" w:color="000000" w:sz="4" w:space="0"/>
              <w:left w:val="single" w:color="000000" w:sz="4" w:space="0"/>
              <w:bottom w:val="single" w:color="000000" w:sz="4" w:space="0"/>
              <w:right w:val="single" w:color="000000" w:sz="4" w:space="0"/>
            </w:tcBorders>
            <w:vAlign w:val="center"/>
          </w:tcPr>
          <w:p w14:paraId="5D35B1E1">
            <w:pPr>
              <w:widowControl/>
              <w:jc w:val="left"/>
              <w:textAlignment w:val="center"/>
              <w:rPr>
                <w:rFonts w:hint="eastAsia" w:ascii="仿宋_GB2312" w:hAnsi="宋体" w:eastAsia="仿宋_GB2312" w:cs="仿宋_GB2312"/>
                <w:color w:val="000000"/>
                <w:kern w:val="0"/>
                <w:sz w:val="24"/>
                <w:lang w:bidi="ar"/>
              </w:rPr>
            </w:pPr>
            <w:r>
              <w:rPr>
                <w:rFonts w:ascii="仿宋_GB2312" w:hAnsi="宋体" w:eastAsia="仿宋_GB2312" w:cs="仿宋_GB2312"/>
                <w:color w:val="000000"/>
                <w:kern w:val="0"/>
                <w:sz w:val="24"/>
                <w:lang w:bidi="ar"/>
              </w:rPr>
              <w:t>是否全面梳理重点岗位合规风险，制定岗位合规职责清单，定期更新完善</w:t>
            </w:r>
          </w:p>
        </w:tc>
        <w:tc>
          <w:tcPr>
            <w:tcW w:w="1240" w:type="dxa"/>
            <w:tcBorders>
              <w:top w:val="single" w:color="000000" w:sz="4" w:space="0"/>
              <w:left w:val="single" w:color="000000" w:sz="4" w:space="0"/>
              <w:bottom w:val="single" w:color="000000" w:sz="4" w:space="0"/>
              <w:right w:val="single" w:color="000000" w:sz="4" w:space="0"/>
            </w:tcBorders>
            <w:vAlign w:val="center"/>
          </w:tcPr>
          <w:p w14:paraId="6FF5F6C7">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4A091BAA">
            <w:pPr>
              <w:jc w:val="left"/>
              <w:rPr>
                <w:rFonts w:hint="eastAsia" w:ascii="仿宋_GB2312" w:hAnsi="宋体" w:eastAsia="仿宋_GB2312" w:cs="仿宋_GB2312"/>
                <w:color w:val="000000"/>
                <w:sz w:val="24"/>
              </w:rPr>
            </w:pPr>
          </w:p>
        </w:tc>
      </w:tr>
      <w:tr w14:paraId="63F88C9D">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292645D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3</w:t>
            </w:r>
          </w:p>
        </w:tc>
        <w:tc>
          <w:tcPr>
            <w:tcW w:w="6230" w:type="dxa"/>
            <w:tcBorders>
              <w:top w:val="single" w:color="000000" w:sz="4" w:space="0"/>
              <w:left w:val="single" w:color="000000" w:sz="4" w:space="0"/>
              <w:bottom w:val="single" w:color="000000" w:sz="4" w:space="0"/>
              <w:right w:val="single" w:color="000000" w:sz="4" w:space="0"/>
            </w:tcBorders>
            <w:vAlign w:val="center"/>
          </w:tcPr>
          <w:p w14:paraId="3C52B79A">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是否全面梳理重点业务流程合规风险，定期更新完善业务流程管控清单</w:t>
            </w:r>
          </w:p>
        </w:tc>
        <w:tc>
          <w:tcPr>
            <w:tcW w:w="1240" w:type="dxa"/>
            <w:tcBorders>
              <w:top w:val="single" w:color="000000" w:sz="4" w:space="0"/>
              <w:left w:val="single" w:color="000000" w:sz="4" w:space="0"/>
              <w:bottom w:val="single" w:color="000000" w:sz="4" w:space="0"/>
              <w:right w:val="single" w:color="000000" w:sz="4" w:space="0"/>
            </w:tcBorders>
            <w:vAlign w:val="center"/>
          </w:tcPr>
          <w:p w14:paraId="4C5A6F01">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44614DF5">
            <w:pPr>
              <w:jc w:val="left"/>
              <w:rPr>
                <w:rFonts w:hint="eastAsia" w:ascii="仿宋_GB2312" w:hAnsi="宋体" w:eastAsia="仿宋_GB2312" w:cs="仿宋_GB2312"/>
                <w:color w:val="000000"/>
                <w:sz w:val="24"/>
              </w:rPr>
            </w:pPr>
          </w:p>
        </w:tc>
      </w:tr>
      <w:tr w14:paraId="6F45DD82">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5137505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4</w:t>
            </w:r>
          </w:p>
        </w:tc>
        <w:tc>
          <w:tcPr>
            <w:tcW w:w="6230" w:type="dxa"/>
            <w:tcBorders>
              <w:top w:val="single" w:color="000000" w:sz="4" w:space="0"/>
              <w:left w:val="single" w:color="000000" w:sz="4" w:space="0"/>
              <w:bottom w:val="single" w:color="000000" w:sz="4" w:space="0"/>
              <w:right w:val="single" w:color="000000" w:sz="4" w:space="0"/>
            </w:tcBorders>
            <w:vAlign w:val="center"/>
          </w:tcPr>
          <w:p w14:paraId="52128D6C">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是否建立并定期更新合规风险识别预警清单</w:t>
            </w:r>
          </w:p>
        </w:tc>
        <w:tc>
          <w:tcPr>
            <w:tcW w:w="1240" w:type="dxa"/>
            <w:tcBorders>
              <w:top w:val="single" w:color="000000" w:sz="4" w:space="0"/>
              <w:left w:val="single" w:color="000000" w:sz="4" w:space="0"/>
              <w:bottom w:val="single" w:color="000000" w:sz="4" w:space="0"/>
              <w:right w:val="single" w:color="000000" w:sz="4" w:space="0"/>
            </w:tcBorders>
            <w:vAlign w:val="center"/>
          </w:tcPr>
          <w:p w14:paraId="2CC84453">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19F1E0B2">
            <w:pPr>
              <w:jc w:val="left"/>
              <w:rPr>
                <w:rFonts w:hint="eastAsia" w:ascii="仿宋_GB2312" w:hAnsi="宋体" w:eastAsia="仿宋_GB2312" w:cs="仿宋_GB2312"/>
                <w:color w:val="000000"/>
                <w:sz w:val="24"/>
              </w:rPr>
            </w:pPr>
          </w:p>
        </w:tc>
      </w:tr>
      <w:tr w14:paraId="39B05A10">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664FC40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5</w:t>
            </w:r>
          </w:p>
        </w:tc>
        <w:tc>
          <w:tcPr>
            <w:tcW w:w="6230" w:type="dxa"/>
            <w:tcBorders>
              <w:top w:val="single" w:color="000000" w:sz="4" w:space="0"/>
              <w:left w:val="single" w:color="000000" w:sz="4" w:space="0"/>
              <w:bottom w:val="single" w:color="000000" w:sz="4" w:space="0"/>
              <w:right w:val="single" w:color="000000" w:sz="4" w:space="0"/>
            </w:tcBorders>
            <w:vAlign w:val="center"/>
          </w:tcPr>
          <w:p w14:paraId="1D21226F">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是否开展制度评估清理及立改废工作</w:t>
            </w:r>
            <w:r>
              <w:rPr>
                <w:rFonts w:hint="eastAsia" w:ascii="仿宋_GB2312" w:hAnsi="宋体" w:eastAsia="仿宋_GB2312" w:cs="仿宋_GB2312"/>
                <w:color w:val="000000"/>
                <w:kern w:val="0"/>
                <w:sz w:val="24"/>
                <w:lang w:bidi="ar"/>
              </w:rPr>
              <w:t>，编制制度立改废计划</w:t>
            </w:r>
          </w:p>
        </w:tc>
        <w:tc>
          <w:tcPr>
            <w:tcW w:w="1240" w:type="dxa"/>
            <w:tcBorders>
              <w:top w:val="single" w:color="000000" w:sz="4" w:space="0"/>
              <w:left w:val="single" w:color="000000" w:sz="4" w:space="0"/>
              <w:bottom w:val="single" w:color="000000" w:sz="4" w:space="0"/>
              <w:right w:val="single" w:color="000000" w:sz="4" w:space="0"/>
            </w:tcBorders>
            <w:vAlign w:val="center"/>
          </w:tcPr>
          <w:p w14:paraId="1B32AB88">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01EB4485">
            <w:pPr>
              <w:jc w:val="left"/>
              <w:rPr>
                <w:rFonts w:hint="eastAsia" w:ascii="仿宋_GB2312" w:hAnsi="宋体" w:eastAsia="仿宋_GB2312" w:cs="仿宋_GB2312"/>
                <w:color w:val="000000"/>
                <w:sz w:val="24"/>
              </w:rPr>
            </w:pPr>
          </w:p>
        </w:tc>
      </w:tr>
      <w:tr w14:paraId="32DF89DB">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3D7BF70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6</w:t>
            </w:r>
          </w:p>
        </w:tc>
        <w:tc>
          <w:tcPr>
            <w:tcW w:w="6230" w:type="dxa"/>
            <w:tcBorders>
              <w:top w:val="single" w:color="000000" w:sz="4" w:space="0"/>
              <w:left w:val="single" w:color="000000" w:sz="4" w:space="0"/>
              <w:bottom w:val="single" w:color="000000" w:sz="4" w:space="0"/>
              <w:right w:val="single" w:color="000000" w:sz="4" w:space="0"/>
            </w:tcBorders>
            <w:vAlign w:val="center"/>
          </w:tcPr>
          <w:p w14:paraId="57C17308">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是否编制制度废改立清单</w:t>
            </w:r>
          </w:p>
        </w:tc>
        <w:tc>
          <w:tcPr>
            <w:tcW w:w="1240" w:type="dxa"/>
            <w:tcBorders>
              <w:top w:val="single" w:color="000000" w:sz="4" w:space="0"/>
              <w:left w:val="single" w:color="000000" w:sz="4" w:space="0"/>
              <w:bottom w:val="single" w:color="000000" w:sz="4" w:space="0"/>
              <w:right w:val="single" w:color="000000" w:sz="4" w:space="0"/>
            </w:tcBorders>
            <w:vAlign w:val="center"/>
          </w:tcPr>
          <w:p w14:paraId="3366D46C">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0AEFF6E6">
            <w:pPr>
              <w:jc w:val="left"/>
              <w:rPr>
                <w:rFonts w:hint="eastAsia" w:ascii="仿宋_GB2312" w:hAnsi="宋体" w:eastAsia="仿宋_GB2312" w:cs="仿宋_GB2312"/>
                <w:color w:val="000000"/>
                <w:sz w:val="24"/>
              </w:rPr>
            </w:pPr>
          </w:p>
        </w:tc>
      </w:tr>
      <w:tr w14:paraId="66C77153">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44B86828">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7</w:t>
            </w:r>
          </w:p>
        </w:tc>
        <w:tc>
          <w:tcPr>
            <w:tcW w:w="6230" w:type="dxa"/>
            <w:tcBorders>
              <w:top w:val="single" w:color="000000" w:sz="4" w:space="0"/>
              <w:left w:val="single" w:color="000000" w:sz="4" w:space="0"/>
              <w:bottom w:val="single" w:color="000000" w:sz="4" w:space="0"/>
              <w:right w:val="single" w:color="000000" w:sz="4" w:space="0"/>
            </w:tcBorders>
            <w:vAlign w:val="center"/>
          </w:tcPr>
          <w:p w14:paraId="718098F3">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是否编制进行</w:t>
            </w:r>
            <w:r>
              <w:rPr>
                <w:rFonts w:hint="eastAsia" w:ascii="仿宋_GB2312" w:hAnsi="宋体" w:eastAsia="仿宋_GB2312" w:cs="仿宋_GB2312"/>
                <w:color w:val="000000"/>
                <w:kern w:val="0"/>
                <w:sz w:val="24"/>
                <w:lang w:eastAsia="zh-CN" w:bidi="ar"/>
              </w:rPr>
              <w:t>“三重一大”</w:t>
            </w:r>
            <w:r>
              <w:rPr>
                <w:rFonts w:ascii="仿宋_GB2312" w:hAnsi="宋体" w:eastAsia="仿宋_GB2312" w:cs="仿宋_GB2312"/>
                <w:color w:val="000000"/>
                <w:kern w:val="0"/>
                <w:sz w:val="24"/>
                <w:lang w:bidi="ar"/>
              </w:rPr>
              <w:t>合法合规性审查</w:t>
            </w:r>
          </w:p>
        </w:tc>
        <w:tc>
          <w:tcPr>
            <w:tcW w:w="1240" w:type="dxa"/>
            <w:tcBorders>
              <w:top w:val="single" w:color="000000" w:sz="4" w:space="0"/>
              <w:left w:val="single" w:color="000000" w:sz="4" w:space="0"/>
              <w:bottom w:val="single" w:color="000000" w:sz="4" w:space="0"/>
              <w:right w:val="single" w:color="000000" w:sz="4" w:space="0"/>
            </w:tcBorders>
            <w:vAlign w:val="center"/>
          </w:tcPr>
          <w:p w14:paraId="6D789AFC">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46DEA75D">
            <w:pPr>
              <w:jc w:val="left"/>
              <w:rPr>
                <w:rFonts w:hint="eastAsia" w:ascii="仿宋_GB2312" w:hAnsi="宋体" w:eastAsia="仿宋_GB2312" w:cs="仿宋_GB2312"/>
                <w:color w:val="000000"/>
                <w:sz w:val="24"/>
              </w:rPr>
            </w:pPr>
          </w:p>
        </w:tc>
      </w:tr>
      <w:tr w14:paraId="70D4ED3E">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0C53757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8</w:t>
            </w:r>
          </w:p>
        </w:tc>
        <w:tc>
          <w:tcPr>
            <w:tcW w:w="6230" w:type="dxa"/>
            <w:tcBorders>
              <w:top w:val="single" w:color="000000" w:sz="4" w:space="0"/>
              <w:left w:val="single" w:color="000000" w:sz="4" w:space="0"/>
              <w:bottom w:val="single" w:color="000000" w:sz="4" w:space="0"/>
              <w:right w:val="single" w:color="000000" w:sz="4" w:space="0"/>
            </w:tcBorders>
            <w:vAlign w:val="center"/>
          </w:tcPr>
          <w:p w14:paraId="78CF0B4E">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是否按时完成备案合同进行情况统计，并上报统计情况</w:t>
            </w:r>
          </w:p>
        </w:tc>
        <w:tc>
          <w:tcPr>
            <w:tcW w:w="1240" w:type="dxa"/>
            <w:tcBorders>
              <w:top w:val="single" w:color="000000" w:sz="4" w:space="0"/>
              <w:left w:val="single" w:color="000000" w:sz="4" w:space="0"/>
              <w:bottom w:val="single" w:color="000000" w:sz="4" w:space="0"/>
              <w:right w:val="single" w:color="000000" w:sz="4" w:space="0"/>
            </w:tcBorders>
            <w:vAlign w:val="center"/>
          </w:tcPr>
          <w:p w14:paraId="39F1B9CE">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0971E117">
            <w:pPr>
              <w:jc w:val="left"/>
              <w:rPr>
                <w:rFonts w:hint="eastAsia" w:ascii="仿宋_GB2312" w:hAnsi="宋体" w:eastAsia="仿宋_GB2312" w:cs="仿宋_GB2312"/>
                <w:color w:val="000000"/>
                <w:sz w:val="24"/>
              </w:rPr>
            </w:pPr>
          </w:p>
        </w:tc>
      </w:tr>
      <w:tr w14:paraId="3D9F0465">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339E6513">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9</w:t>
            </w:r>
          </w:p>
        </w:tc>
        <w:tc>
          <w:tcPr>
            <w:tcW w:w="6230" w:type="dxa"/>
            <w:tcBorders>
              <w:top w:val="single" w:color="000000" w:sz="4" w:space="0"/>
              <w:left w:val="single" w:color="000000" w:sz="4" w:space="0"/>
              <w:bottom w:val="single" w:color="000000" w:sz="4" w:space="0"/>
              <w:right w:val="single" w:color="000000" w:sz="4" w:space="0"/>
            </w:tcBorders>
            <w:vAlign w:val="center"/>
          </w:tcPr>
          <w:p w14:paraId="5E9865FD">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是否按时报送案件情况</w:t>
            </w:r>
          </w:p>
        </w:tc>
        <w:tc>
          <w:tcPr>
            <w:tcW w:w="1240" w:type="dxa"/>
            <w:tcBorders>
              <w:top w:val="single" w:color="000000" w:sz="4" w:space="0"/>
              <w:left w:val="single" w:color="000000" w:sz="4" w:space="0"/>
              <w:bottom w:val="single" w:color="000000" w:sz="4" w:space="0"/>
              <w:right w:val="single" w:color="000000" w:sz="4" w:space="0"/>
            </w:tcBorders>
            <w:vAlign w:val="center"/>
          </w:tcPr>
          <w:p w14:paraId="178D7DD1">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2A208BC6">
            <w:pPr>
              <w:jc w:val="left"/>
              <w:rPr>
                <w:rFonts w:hint="eastAsia" w:ascii="仿宋_GB2312" w:hAnsi="宋体" w:eastAsia="仿宋_GB2312" w:cs="仿宋_GB2312"/>
                <w:color w:val="000000"/>
                <w:sz w:val="24"/>
              </w:rPr>
            </w:pPr>
          </w:p>
        </w:tc>
      </w:tr>
      <w:tr w14:paraId="09FABCDB">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18786BE3">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10</w:t>
            </w:r>
          </w:p>
        </w:tc>
        <w:tc>
          <w:tcPr>
            <w:tcW w:w="6230" w:type="dxa"/>
            <w:tcBorders>
              <w:top w:val="single" w:color="000000" w:sz="4" w:space="0"/>
              <w:left w:val="single" w:color="000000" w:sz="4" w:space="0"/>
              <w:bottom w:val="single" w:color="000000" w:sz="4" w:space="0"/>
              <w:right w:val="single" w:color="000000" w:sz="4" w:space="0"/>
            </w:tcBorders>
            <w:vAlign w:val="center"/>
          </w:tcPr>
          <w:p w14:paraId="5ECFAB18">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是否定期开展1次法律纠纷风险排查</w:t>
            </w:r>
          </w:p>
        </w:tc>
        <w:tc>
          <w:tcPr>
            <w:tcW w:w="1240" w:type="dxa"/>
            <w:tcBorders>
              <w:top w:val="single" w:color="000000" w:sz="4" w:space="0"/>
              <w:left w:val="single" w:color="000000" w:sz="4" w:space="0"/>
              <w:bottom w:val="single" w:color="000000" w:sz="4" w:space="0"/>
              <w:right w:val="single" w:color="000000" w:sz="4" w:space="0"/>
            </w:tcBorders>
            <w:vAlign w:val="center"/>
          </w:tcPr>
          <w:p w14:paraId="5FE3AA6F">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3C0E41AF">
            <w:pPr>
              <w:jc w:val="left"/>
              <w:rPr>
                <w:rFonts w:hint="eastAsia" w:ascii="仿宋_GB2312" w:hAnsi="宋体" w:eastAsia="仿宋_GB2312" w:cs="仿宋_GB2312"/>
                <w:color w:val="000000"/>
                <w:sz w:val="24"/>
              </w:rPr>
            </w:pPr>
          </w:p>
        </w:tc>
      </w:tr>
      <w:tr w14:paraId="66A3CB5E">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732BCEB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11</w:t>
            </w:r>
          </w:p>
        </w:tc>
        <w:tc>
          <w:tcPr>
            <w:tcW w:w="6230" w:type="dxa"/>
            <w:tcBorders>
              <w:top w:val="single" w:color="000000" w:sz="4" w:space="0"/>
              <w:left w:val="single" w:color="000000" w:sz="4" w:space="0"/>
              <w:bottom w:val="single" w:color="000000" w:sz="4" w:space="0"/>
              <w:right w:val="single" w:color="000000" w:sz="4" w:space="0"/>
            </w:tcBorders>
            <w:vAlign w:val="center"/>
          </w:tcPr>
          <w:p w14:paraId="72A5FBF3">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是否在案件处理完毕30日内要撰写案件分析报告（若无则不填）</w:t>
            </w:r>
          </w:p>
        </w:tc>
        <w:tc>
          <w:tcPr>
            <w:tcW w:w="1240" w:type="dxa"/>
            <w:tcBorders>
              <w:top w:val="single" w:color="000000" w:sz="4" w:space="0"/>
              <w:left w:val="single" w:color="000000" w:sz="4" w:space="0"/>
              <w:bottom w:val="single" w:color="000000" w:sz="4" w:space="0"/>
              <w:right w:val="single" w:color="000000" w:sz="4" w:space="0"/>
            </w:tcBorders>
            <w:vAlign w:val="center"/>
          </w:tcPr>
          <w:p w14:paraId="64BF7F67">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21878270">
            <w:pPr>
              <w:jc w:val="left"/>
              <w:rPr>
                <w:rFonts w:hint="eastAsia" w:ascii="仿宋_GB2312" w:hAnsi="宋体" w:eastAsia="仿宋_GB2312" w:cs="仿宋_GB2312"/>
                <w:color w:val="000000"/>
                <w:sz w:val="24"/>
              </w:rPr>
            </w:pPr>
          </w:p>
        </w:tc>
      </w:tr>
      <w:tr w14:paraId="204D485C">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34BDB655">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12</w:t>
            </w:r>
          </w:p>
        </w:tc>
        <w:tc>
          <w:tcPr>
            <w:tcW w:w="6230" w:type="dxa"/>
            <w:tcBorders>
              <w:top w:val="single" w:color="000000" w:sz="4" w:space="0"/>
              <w:left w:val="single" w:color="000000" w:sz="4" w:space="0"/>
              <w:bottom w:val="single" w:color="000000" w:sz="4" w:space="0"/>
              <w:right w:val="single" w:color="000000" w:sz="4" w:space="0"/>
            </w:tcBorders>
            <w:vAlign w:val="center"/>
          </w:tcPr>
          <w:p w14:paraId="6D08A4E8">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是否每年初开展1次全面重大风险识别评估</w:t>
            </w:r>
          </w:p>
        </w:tc>
        <w:tc>
          <w:tcPr>
            <w:tcW w:w="1240" w:type="dxa"/>
            <w:tcBorders>
              <w:top w:val="single" w:color="000000" w:sz="4" w:space="0"/>
              <w:left w:val="single" w:color="000000" w:sz="4" w:space="0"/>
              <w:bottom w:val="single" w:color="000000" w:sz="4" w:space="0"/>
              <w:right w:val="single" w:color="000000" w:sz="4" w:space="0"/>
            </w:tcBorders>
            <w:vAlign w:val="center"/>
          </w:tcPr>
          <w:p w14:paraId="7FAB43CD">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6855027C">
            <w:pPr>
              <w:jc w:val="left"/>
              <w:rPr>
                <w:rFonts w:hint="eastAsia" w:ascii="仿宋_GB2312" w:hAnsi="宋体" w:eastAsia="仿宋_GB2312" w:cs="仿宋_GB2312"/>
                <w:color w:val="000000"/>
                <w:sz w:val="24"/>
              </w:rPr>
            </w:pPr>
          </w:p>
        </w:tc>
      </w:tr>
      <w:tr w14:paraId="23E147F0">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4FDDA7D2">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w:t>
            </w:r>
            <w:r>
              <w:rPr>
                <w:rFonts w:hint="eastAsia" w:ascii="仿宋_GB2312" w:hAnsi="宋体" w:eastAsia="仿宋_GB2312" w:cs="仿宋_GB2312"/>
                <w:color w:val="000000"/>
                <w:kern w:val="0"/>
                <w:sz w:val="24"/>
                <w:lang w:bidi="ar"/>
              </w:rPr>
              <w:t>3</w:t>
            </w:r>
          </w:p>
        </w:tc>
        <w:tc>
          <w:tcPr>
            <w:tcW w:w="6230" w:type="dxa"/>
            <w:tcBorders>
              <w:top w:val="single" w:color="000000" w:sz="4" w:space="0"/>
              <w:left w:val="single" w:color="000000" w:sz="4" w:space="0"/>
              <w:bottom w:val="single" w:color="000000" w:sz="4" w:space="0"/>
              <w:right w:val="single" w:color="000000" w:sz="4" w:space="0"/>
            </w:tcBorders>
            <w:vAlign w:val="center"/>
          </w:tcPr>
          <w:p w14:paraId="057BF830">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是否每年定期开展内控测试和评价</w:t>
            </w:r>
          </w:p>
        </w:tc>
        <w:tc>
          <w:tcPr>
            <w:tcW w:w="1240" w:type="dxa"/>
            <w:tcBorders>
              <w:top w:val="single" w:color="000000" w:sz="4" w:space="0"/>
              <w:left w:val="single" w:color="000000" w:sz="4" w:space="0"/>
              <w:bottom w:val="single" w:color="000000" w:sz="4" w:space="0"/>
              <w:right w:val="single" w:color="000000" w:sz="4" w:space="0"/>
            </w:tcBorders>
            <w:vAlign w:val="center"/>
          </w:tcPr>
          <w:p w14:paraId="7FECF531">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40875C00">
            <w:pPr>
              <w:jc w:val="left"/>
              <w:rPr>
                <w:rFonts w:hint="eastAsia" w:ascii="仿宋_GB2312" w:hAnsi="宋体" w:eastAsia="仿宋_GB2312" w:cs="仿宋_GB2312"/>
                <w:color w:val="000000"/>
                <w:sz w:val="24"/>
              </w:rPr>
            </w:pPr>
          </w:p>
        </w:tc>
      </w:tr>
      <w:tr w14:paraId="7E84D26D">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14919729">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w:t>
            </w:r>
            <w:r>
              <w:rPr>
                <w:rFonts w:hint="eastAsia" w:ascii="仿宋_GB2312" w:hAnsi="宋体" w:eastAsia="仿宋_GB2312" w:cs="仿宋_GB2312"/>
                <w:color w:val="000000"/>
                <w:kern w:val="0"/>
                <w:sz w:val="24"/>
                <w:lang w:bidi="ar"/>
              </w:rPr>
              <w:t>4</w:t>
            </w:r>
          </w:p>
        </w:tc>
        <w:tc>
          <w:tcPr>
            <w:tcW w:w="6230" w:type="dxa"/>
            <w:tcBorders>
              <w:top w:val="single" w:color="000000" w:sz="4" w:space="0"/>
              <w:left w:val="single" w:color="000000" w:sz="4" w:space="0"/>
              <w:bottom w:val="single" w:color="000000" w:sz="4" w:space="0"/>
              <w:right w:val="single" w:color="000000" w:sz="4" w:space="0"/>
            </w:tcBorders>
            <w:vAlign w:val="center"/>
          </w:tcPr>
          <w:p w14:paraId="3060B29F">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是否将合规列为监督检查内容，并汇报检查结果</w:t>
            </w:r>
          </w:p>
        </w:tc>
        <w:tc>
          <w:tcPr>
            <w:tcW w:w="1240" w:type="dxa"/>
            <w:tcBorders>
              <w:top w:val="single" w:color="000000" w:sz="4" w:space="0"/>
              <w:left w:val="single" w:color="000000" w:sz="4" w:space="0"/>
              <w:bottom w:val="single" w:color="000000" w:sz="4" w:space="0"/>
              <w:right w:val="single" w:color="000000" w:sz="4" w:space="0"/>
            </w:tcBorders>
            <w:vAlign w:val="center"/>
          </w:tcPr>
          <w:p w14:paraId="08B1567B">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164F628F">
            <w:pPr>
              <w:jc w:val="left"/>
              <w:rPr>
                <w:rFonts w:hint="eastAsia" w:ascii="仿宋_GB2312" w:hAnsi="宋体" w:eastAsia="仿宋_GB2312" w:cs="仿宋_GB2312"/>
                <w:color w:val="000000"/>
                <w:sz w:val="24"/>
              </w:rPr>
            </w:pPr>
          </w:p>
        </w:tc>
      </w:tr>
      <w:tr w14:paraId="5EE61165">
        <w:tblPrEx>
          <w:tblCellMar>
            <w:top w:w="0" w:type="dxa"/>
            <w:left w:w="108" w:type="dxa"/>
            <w:bottom w:w="0" w:type="dxa"/>
            <w:right w:w="108" w:type="dxa"/>
          </w:tblCellMar>
        </w:tblPrEx>
        <w:trPr>
          <w:trHeight w:val="35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48898E91">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w:t>
            </w:r>
            <w:r>
              <w:rPr>
                <w:rFonts w:hint="eastAsia" w:ascii="仿宋_GB2312" w:hAnsi="宋体" w:eastAsia="仿宋_GB2312" w:cs="仿宋_GB2312"/>
                <w:color w:val="000000"/>
                <w:kern w:val="0"/>
                <w:sz w:val="24"/>
                <w:lang w:bidi="ar"/>
              </w:rPr>
              <w:t>5</w:t>
            </w:r>
          </w:p>
        </w:tc>
        <w:tc>
          <w:tcPr>
            <w:tcW w:w="6230" w:type="dxa"/>
            <w:tcBorders>
              <w:top w:val="single" w:color="000000" w:sz="4" w:space="0"/>
              <w:left w:val="single" w:color="000000" w:sz="4" w:space="0"/>
              <w:bottom w:val="single" w:color="000000" w:sz="4" w:space="0"/>
              <w:right w:val="single" w:color="000000" w:sz="4" w:space="0"/>
            </w:tcBorders>
            <w:vAlign w:val="center"/>
          </w:tcPr>
          <w:p w14:paraId="602F2AF6">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是否及时报告合规风险，组织或配合开展应对处置、违规问题调查和整改</w:t>
            </w:r>
          </w:p>
        </w:tc>
        <w:tc>
          <w:tcPr>
            <w:tcW w:w="1240" w:type="dxa"/>
            <w:tcBorders>
              <w:top w:val="single" w:color="000000" w:sz="4" w:space="0"/>
              <w:left w:val="single" w:color="000000" w:sz="4" w:space="0"/>
              <w:bottom w:val="single" w:color="000000" w:sz="4" w:space="0"/>
              <w:right w:val="single" w:color="000000" w:sz="4" w:space="0"/>
            </w:tcBorders>
            <w:vAlign w:val="center"/>
          </w:tcPr>
          <w:p w14:paraId="0C901ADA">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0F62DDDD">
            <w:pPr>
              <w:jc w:val="left"/>
              <w:rPr>
                <w:rFonts w:hint="eastAsia" w:ascii="仿宋_GB2312" w:hAnsi="宋体" w:eastAsia="仿宋_GB2312" w:cs="仿宋_GB2312"/>
                <w:color w:val="000000"/>
                <w:sz w:val="24"/>
              </w:rPr>
            </w:pPr>
          </w:p>
        </w:tc>
      </w:tr>
      <w:tr w14:paraId="0DA5443B">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3B362CAE">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w:t>
            </w:r>
            <w:r>
              <w:rPr>
                <w:rFonts w:hint="eastAsia" w:ascii="仿宋_GB2312" w:hAnsi="宋体" w:eastAsia="仿宋_GB2312" w:cs="仿宋_GB2312"/>
                <w:color w:val="000000"/>
                <w:kern w:val="0"/>
                <w:sz w:val="24"/>
                <w:lang w:bidi="ar"/>
              </w:rPr>
              <w:t>6</w:t>
            </w:r>
          </w:p>
        </w:tc>
        <w:tc>
          <w:tcPr>
            <w:tcW w:w="6230" w:type="dxa"/>
            <w:tcBorders>
              <w:top w:val="single" w:color="000000" w:sz="4" w:space="0"/>
              <w:left w:val="single" w:color="000000" w:sz="4" w:space="0"/>
              <w:bottom w:val="single" w:color="000000" w:sz="4" w:space="0"/>
              <w:right w:val="single" w:color="000000" w:sz="4" w:space="0"/>
            </w:tcBorders>
            <w:vAlign w:val="center"/>
          </w:tcPr>
          <w:p w14:paraId="285CD2A6">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是否将合规审查作为必经程序嵌入经营管理流程，做到应审必审</w:t>
            </w:r>
          </w:p>
        </w:tc>
        <w:tc>
          <w:tcPr>
            <w:tcW w:w="1240" w:type="dxa"/>
            <w:tcBorders>
              <w:top w:val="single" w:color="000000" w:sz="4" w:space="0"/>
              <w:left w:val="single" w:color="000000" w:sz="4" w:space="0"/>
              <w:bottom w:val="single" w:color="000000" w:sz="4" w:space="0"/>
              <w:right w:val="single" w:color="000000" w:sz="4" w:space="0"/>
            </w:tcBorders>
            <w:vAlign w:val="center"/>
          </w:tcPr>
          <w:p w14:paraId="0C09F011">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744B73C5">
            <w:pPr>
              <w:jc w:val="left"/>
              <w:rPr>
                <w:rFonts w:hint="eastAsia" w:ascii="仿宋_GB2312" w:hAnsi="宋体" w:eastAsia="仿宋_GB2312" w:cs="仿宋_GB2312"/>
                <w:color w:val="000000"/>
                <w:sz w:val="24"/>
              </w:rPr>
            </w:pPr>
          </w:p>
        </w:tc>
      </w:tr>
      <w:tr w14:paraId="5FC1BF6B">
        <w:tblPrEx>
          <w:tblCellMar>
            <w:top w:w="0" w:type="dxa"/>
            <w:left w:w="108" w:type="dxa"/>
            <w:bottom w:w="0" w:type="dxa"/>
            <w:right w:w="108" w:type="dxa"/>
          </w:tblCellMar>
        </w:tblPrEx>
        <w:trPr>
          <w:trHeight w:val="37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1837420F">
            <w:pPr>
              <w:widowControl/>
              <w:jc w:val="center"/>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1</w:t>
            </w:r>
            <w:r>
              <w:rPr>
                <w:rFonts w:hint="eastAsia" w:ascii="仿宋_GB2312" w:hAnsi="宋体" w:eastAsia="仿宋_GB2312" w:cs="仿宋_GB2312"/>
                <w:color w:val="000000"/>
                <w:kern w:val="0"/>
                <w:sz w:val="24"/>
                <w:lang w:bidi="ar"/>
              </w:rPr>
              <w:t>7</w:t>
            </w:r>
          </w:p>
        </w:tc>
        <w:tc>
          <w:tcPr>
            <w:tcW w:w="6230" w:type="dxa"/>
            <w:tcBorders>
              <w:top w:val="single" w:color="000000" w:sz="4" w:space="0"/>
              <w:left w:val="single" w:color="000000" w:sz="4" w:space="0"/>
              <w:bottom w:val="single" w:color="000000" w:sz="4" w:space="0"/>
              <w:right w:val="single" w:color="000000" w:sz="4" w:space="0"/>
            </w:tcBorders>
            <w:vAlign w:val="center"/>
          </w:tcPr>
          <w:p w14:paraId="1AEDFCE3">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是否对全年合规管理工作中发现的问题、风险隐患进行跟踪，对风险隐患完成整改落实</w:t>
            </w:r>
          </w:p>
        </w:tc>
        <w:tc>
          <w:tcPr>
            <w:tcW w:w="1240" w:type="dxa"/>
            <w:tcBorders>
              <w:top w:val="single" w:color="000000" w:sz="4" w:space="0"/>
              <w:left w:val="single" w:color="000000" w:sz="4" w:space="0"/>
              <w:bottom w:val="single" w:color="000000" w:sz="4" w:space="0"/>
              <w:right w:val="single" w:color="000000" w:sz="4" w:space="0"/>
            </w:tcBorders>
            <w:vAlign w:val="center"/>
          </w:tcPr>
          <w:p w14:paraId="370B5639">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48F7A6AB">
            <w:pPr>
              <w:jc w:val="left"/>
              <w:rPr>
                <w:rFonts w:hint="eastAsia" w:ascii="仿宋_GB2312" w:hAnsi="宋体" w:eastAsia="仿宋_GB2312" w:cs="仿宋_GB2312"/>
                <w:color w:val="000000"/>
                <w:sz w:val="24"/>
              </w:rPr>
            </w:pPr>
          </w:p>
        </w:tc>
      </w:tr>
      <w:tr w14:paraId="744AB03A">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26D948C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18</w:t>
            </w:r>
          </w:p>
        </w:tc>
        <w:tc>
          <w:tcPr>
            <w:tcW w:w="6230" w:type="dxa"/>
            <w:tcBorders>
              <w:top w:val="single" w:color="000000" w:sz="4" w:space="0"/>
              <w:left w:val="single" w:color="000000" w:sz="4" w:space="0"/>
              <w:bottom w:val="single" w:color="000000" w:sz="4" w:space="0"/>
              <w:right w:val="single" w:color="000000" w:sz="4" w:space="0"/>
            </w:tcBorders>
            <w:vAlign w:val="center"/>
          </w:tcPr>
          <w:p w14:paraId="78CA037C">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是否开展合规培训、普法宣传教育，提升合规意识</w:t>
            </w:r>
          </w:p>
        </w:tc>
        <w:tc>
          <w:tcPr>
            <w:tcW w:w="1240" w:type="dxa"/>
            <w:tcBorders>
              <w:top w:val="single" w:color="000000" w:sz="4" w:space="0"/>
              <w:left w:val="single" w:color="000000" w:sz="4" w:space="0"/>
              <w:bottom w:val="single" w:color="000000" w:sz="4" w:space="0"/>
              <w:right w:val="single" w:color="000000" w:sz="4" w:space="0"/>
            </w:tcBorders>
            <w:vAlign w:val="center"/>
          </w:tcPr>
          <w:p w14:paraId="78F49C49">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5B1CA09E">
            <w:pPr>
              <w:jc w:val="left"/>
              <w:rPr>
                <w:rFonts w:hint="eastAsia" w:ascii="仿宋_GB2312" w:hAnsi="宋体" w:eastAsia="仿宋_GB2312" w:cs="仿宋_GB2312"/>
                <w:color w:val="000000"/>
                <w:sz w:val="24"/>
              </w:rPr>
            </w:pPr>
          </w:p>
        </w:tc>
      </w:tr>
      <w:tr w14:paraId="668DFB8B">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7057914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19</w:t>
            </w:r>
          </w:p>
        </w:tc>
        <w:tc>
          <w:tcPr>
            <w:tcW w:w="6230" w:type="dxa"/>
            <w:tcBorders>
              <w:top w:val="single" w:color="000000" w:sz="4" w:space="0"/>
              <w:left w:val="single" w:color="000000" w:sz="4" w:space="0"/>
              <w:bottom w:val="single" w:color="000000" w:sz="4" w:space="0"/>
              <w:right w:val="single" w:color="000000" w:sz="4" w:space="0"/>
            </w:tcBorders>
            <w:vAlign w:val="center"/>
          </w:tcPr>
          <w:p w14:paraId="6A6E87CC">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合规承诺书签署率100%</w:t>
            </w:r>
          </w:p>
        </w:tc>
        <w:tc>
          <w:tcPr>
            <w:tcW w:w="1240" w:type="dxa"/>
            <w:tcBorders>
              <w:top w:val="single" w:color="000000" w:sz="4" w:space="0"/>
              <w:left w:val="single" w:color="000000" w:sz="4" w:space="0"/>
              <w:bottom w:val="single" w:color="000000" w:sz="4" w:space="0"/>
              <w:right w:val="single" w:color="000000" w:sz="4" w:space="0"/>
            </w:tcBorders>
            <w:vAlign w:val="center"/>
          </w:tcPr>
          <w:p w14:paraId="2D5C7FF1">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50A50A6E">
            <w:pPr>
              <w:jc w:val="left"/>
              <w:rPr>
                <w:rFonts w:hint="eastAsia" w:ascii="仿宋_GB2312" w:hAnsi="宋体" w:eastAsia="仿宋_GB2312" w:cs="仿宋_GB2312"/>
                <w:color w:val="000000"/>
                <w:sz w:val="24"/>
              </w:rPr>
            </w:pPr>
          </w:p>
        </w:tc>
      </w:tr>
      <w:tr w14:paraId="1D5A6501">
        <w:tblPrEx>
          <w:tblCellMar>
            <w:top w:w="0" w:type="dxa"/>
            <w:left w:w="108" w:type="dxa"/>
            <w:bottom w:w="0" w:type="dxa"/>
            <w:right w:w="108" w:type="dxa"/>
          </w:tblCellMar>
        </w:tblPrEx>
        <w:trPr>
          <w:trHeight w:val="245"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6FF7FEA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20</w:t>
            </w:r>
          </w:p>
        </w:tc>
        <w:tc>
          <w:tcPr>
            <w:tcW w:w="6230" w:type="dxa"/>
            <w:tcBorders>
              <w:top w:val="single" w:color="000000" w:sz="4" w:space="0"/>
              <w:left w:val="single" w:color="000000" w:sz="4" w:space="0"/>
              <w:bottom w:val="single" w:color="000000" w:sz="4" w:space="0"/>
              <w:right w:val="single" w:color="000000" w:sz="4" w:space="0"/>
            </w:tcBorders>
            <w:vAlign w:val="center"/>
          </w:tcPr>
          <w:p w14:paraId="17F2245E">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是否按要求报送合规管理年度报告</w:t>
            </w:r>
          </w:p>
        </w:tc>
        <w:tc>
          <w:tcPr>
            <w:tcW w:w="1240" w:type="dxa"/>
            <w:tcBorders>
              <w:top w:val="single" w:color="000000" w:sz="4" w:space="0"/>
              <w:left w:val="single" w:color="000000" w:sz="4" w:space="0"/>
              <w:bottom w:val="single" w:color="000000" w:sz="4" w:space="0"/>
              <w:right w:val="single" w:color="000000" w:sz="4" w:space="0"/>
            </w:tcBorders>
            <w:vAlign w:val="center"/>
          </w:tcPr>
          <w:p w14:paraId="3F69E4D1">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vAlign w:val="center"/>
          </w:tcPr>
          <w:p w14:paraId="5C7C0861">
            <w:pPr>
              <w:jc w:val="left"/>
              <w:rPr>
                <w:rFonts w:hint="eastAsia" w:ascii="仿宋_GB2312" w:hAnsi="宋体" w:eastAsia="仿宋_GB2312" w:cs="仿宋_GB2312"/>
                <w:color w:val="000000"/>
                <w:sz w:val="24"/>
              </w:rPr>
            </w:pPr>
          </w:p>
        </w:tc>
      </w:tr>
      <w:tr w14:paraId="4EEA53E4">
        <w:tblPrEx>
          <w:tblCellMar>
            <w:top w:w="0" w:type="dxa"/>
            <w:left w:w="108" w:type="dxa"/>
            <w:bottom w:w="0" w:type="dxa"/>
            <w:right w:w="108" w:type="dxa"/>
          </w:tblCellMar>
        </w:tblPrEx>
        <w:trPr>
          <w:trHeight w:val="250" w:hRule="atLeast"/>
        </w:trPr>
        <w:tc>
          <w:tcPr>
            <w:tcW w:w="470" w:type="dxa"/>
            <w:tcBorders>
              <w:top w:val="single" w:color="000000" w:sz="4" w:space="0"/>
              <w:left w:val="single" w:color="000000" w:sz="4" w:space="0"/>
              <w:bottom w:val="single" w:color="000000" w:sz="4" w:space="0"/>
              <w:right w:val="single" w:color="000000" w:sz="4" w:space="0"/>
            </w:tcBorders>
            <w:noWrap/>
            <w:vAlign w:val="center"/>
          </w:tcPr>
          <w:p w14:paraId="2FE1A331">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21</w:t>
            </w:r>
          </w:p>
        </w:tc>
        <w:tc>
          <w:tcPr>
            <w:tcW w:w="6230" w:type="dxa"/>
            <w:tcBorders>
              <w:top w:val="single" w:color="000000" w:sz="4" w:space="0"/>
              <w:left w:val="single" w:color="000000" w:sz="4" w:space="0"/>
              <w:bottom w:val="single" w:color="000000" w:sz="4" w:space="0"/>
              <w:right w:val="single" w:color="000000" w:sz="4" w:space="0"/>
            </w:tcBorders>
            <w:vAlign w:val="center"/>
          </w:tcPr>
          <w:p w14:paraId="7E3E61BE">
            <w:pPr>
              <w:widowControl/>
              <w:jc w:val="left"/>
              <w:textAlignment w:val="center"/>
              <w:rPr>
                <w:rFonts w:hint="eastAsia" w:ascii="仿宋_GB2312" w:hAnsi="宋体" w:eastAsia="仿宋_GB2312" w:cs="仿宋_GB2312"/>
                <w:color w:val="000000"/>
                <w:sz w:val="24"/>
              </w:rPr>
            </w:pPr>
            <w:r>
              <w:rPr>
                <w:rFonts w:ascii="仿宋_GB2312" w:hAnsi="宋体" w:eastAsia="仿宋_GB2312" w:cs="仿宋_GB2312"/>
                <w:color w:val="000000"/>
                <w:kern w:val="0"/>
                <w:sz w:val="24"/>
                <w:lang w:bidi="ar"/>
              </w:rPr>
              <w:t>是否完成上级指派的临时性合规管理任务</w:t>
            </w:r>
          </w:p>
        </w:tc>
        <w:tc>
          <w:tcPr>
            <w:tcW w:w="1240" w:type="dxa"/>
            <w:tcBorders>
              <w:top w:val="single" w:color="000000" w:sz="4" w:space="0"/>
              <w:left w:val="single" w:color="000000" w:sz="4" w:space="0"/>
              <w:bottom w:val="single" w:color="000000" w:sz="4" w:space="0"/>
              <w:right w:val="single" w:color="000000" w:sz="4" w:space="0"/>
            </w:tcBorders>
            <w:vAlign w:val="center"/>
          </w:tcPr>
          <w:p w14:paraId="3A38B926">
            <w:pPr>
              <w:jc w:val="left"/>
              <w:rPr>
                <w:rFonts w:hint="eastAsia" w:ascii="仿宋_GB2312" w:hAnsi="宋体" w:eastAsia="仿宋_GB2312" w:cs="仿宋_GB2312"/>
                <w:color w:val="000000"/>
                <w:sz w:val="24"/>
              </w:rPr>
            </w:pPr>
          </w:p>
        </w:tc>
        <w:tc>
          <w:tcPr>
            <w:tcW w:w="1902" w:type="dxa"/>
            <w:tcBorders>
              <w:top w:val="single" w:color="000000" w:sz="4" w:space="0"/>
              <w:left w:val="single" w:color="000000" w:sz="4" w:space="0"/>
              <w:bottom w:val="single" w:color="000000" w:sz="4" w:space="0"/>
              <w:right w:val="single" w:color="000000" w:sz="4" w:space="0"/>
            </w:tcBorders>
            <w:noWrap/>
            <w:vAlign w:val="center"/>
          </w:tcPr>
          <w:p w14:paraId="2D23BBDA">
            <w:pPr>
              <w:rPr>
                <w:rFonts w:hint="eastAsia" w:ascii="宋体" w:hAnsi="宋体" w:cs="宋体"/>
                <w:color w:val="000000"/>
                <w:sz w:val="22"/>
                <w:szCs w:val="22"/>
              </w:rPr>
            </w:pPr>
          </w:p>
        </w:tc>
      </w:tr>
    </w:tbl>
    <w:p w14:paraId="2F7614DC">
      <w:pPr>
        <w:widowControl/>
        <w:jc w:val="left"/>
        <w:textAlignment w:val="center"/>
      </w:pPr>
      <w:r>
        <w:rPr>
          <w:rFonts w:hint="eastAsia" w:ascii="仿宋_GB2312" w:hAnsi="宋体" w:eastAsia="仿宋_GB2312" w:cs="仿宋_GB2312"/>
          <w:color w:val="000000"/>
          <w:kern w:val="0"/>
          <w:sz w:val="28"/>
          <w:szCs w:val="28"/>
          <w:lang w:bidi="ar"/>
        </w:rPr>
        <w:t>承办业务部门负责人签字：                   部门合规管理员：</w:t>
      </w:r>
    </w:p>
    <w:p w14:paraId="3EDFF37D">
      <w:bookmarkStart w:id="8" w:name="_GoBack"/>
      <w:bookmarkEnd w:id="8"/>
    </w:p>
    <w:sectPr>
      <w:headerReference r:id="rId5" w:type="default"/>
      <w:footerReference r:id="rId6" w:type="default"/>
      <w:pgSz w:w="11906" w:h="16838"/>
      <w:pgMar w:top="1474" w:right="1418" w:bottom="1587"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楷体_GB2312">
    <w:altName w:val="楷体_GB2312"/>
    <w:panose1 w:val="02000000000000000000"/>
    <w:charset w:val="86"/>
    <w:family w:val="auto"/>
    <w:pitch w:val="default"/>
    <w:sig w:usb0="00000000" w:usb1="00000000"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KSOFE8852770">
    <w:panose1 w:val="02010609060101010101"/>
    <w:charset w:val="86"/>
    <w:family w:val="auto"/>
    <w:pitch w:val="default"/>
    <w:sig w:usb0="00000001" w:usb1="00000000" w:usb2="00000000" w:usb3="00000000" w:csb0="00040001" w:csb1="00000000"/>
  </w:font>
  <w:font w:name="KSOFE8859BCF">
    <w:panose1 w:val="02010609060101010101"/>
    <w:charset w:val="86"/>
    <w:family w:val="auto"/>
    <w:pitch w:val="default"/>
    <w:sig w:usb0="00000001"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方正公文小标宋">
    <w:panose1 w:val="02000500000000000000"/>
    <w:charset w:val="86"/>
    <w:family w:val="auto"/>
    <w:pitch w:val="default"/>
    <w:sig w:usb0="A00002BF" w:usb1="38CF7CFA" w:usb2="00000016" w:usb3="00000000" w:csb0="00040001" w:csb1="00000000"/>
  </w:font>
  <w:font w:name="汉仪大宋简">
    <w:panose1 w:val="02010600000101010101"/>
    <w:charset w:val="86"/>
    <w:family w:val="auto"/>
    <w:pitch w:val="default"/>
    <w:sig w:usb0="00000001" w:usb1="080E0800" w:usb2="00000002" w:usb3="00000000" w:csb0="00040000" w:csb1="00000000"/>
  </w:font>
  <w:font w:name="方正教材规范楷体_GBK">
    <w:panose1 w:val="02000000000000000000"/>
    <w:charset w:val="86"/>
    <w:family w:val="auto"/>
    <w:pitch w:val="default"/>
    <w:sig w:usb0="A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C18E2">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6C8B7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E6C8B7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AAE0C">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034A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B1034A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1354E">
    <w:pPr>
      <w:pStyle w:val="6"/>
      <w:ind w:right="360"/>
      <w:rPr>
        <w:rStyle w:val="12"/>
        <w:sz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E4745">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CCDFFF"/>
    <w:multiLevelType w:val="singleLevel"/>
    <w:tmpl w:val="34CCDFFF"/>
    <w:lvl w:ilvl="0" w:tentative="0">
      <w:start w:val="9"/>
      <w:numFmt w:val="decimal"/>
      <w:lvlText w:val="%1."/>
      <w:lvlJc w:val="left"/>
      <w:pPr>
        <w:tabs>
          <w:tab w:val="left" w:pos="312"/>
        </w:tabs>
      </w:pPr>
    </w:lvl>
  </w:abstractNum>
  <w:abstractNum w:abstractNumId="1">
    <w:nsid w:val="49C8AFB5"/>
    <w:multiLevelType w:val="singleLevel"/>
    <w:tmpl w:val="49C8AFB5"/>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156DD"/>
    <w:rsid w:val="17BB6F2A"/>
    <w:rsid w:val="1A086C17"/>
    <w:rsid w:val="279F712B"/>
    <w:rsid w:val="4F561F16"/>
    <w:rsid w:val="5B9156DD"/>
    <w:rsid w:val="6C9F5A2E"/>
    <w:rsid w:val="7BCE642F"/>
    <w:rsid w:val="7F453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spacing w:after="120"/>
    </w:pPr>
  </w:style>
  <w:style w:type="paragraph" w:styleId="5">
    <w:name w:val="Body Text Indent"/>
    <w:basedOn w:val="1"/>
    <w:qFormat/>
    <w:uiPriority w:val="0"/>
    <w:pPr>
      <w:spacing w:after="120"/>
      <w:ind w:left="420" w:leftChars="200"/>
    </w:pPr>
    <w:rPr>
      <w:rFonts w:eastAsia="楷体_GB2312"/>
      <w:sz w:val="3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hint="eastAsia" w:ascii="宋体" w:hAnsi="宋体"/>
      <w:sz w:val="24"/>
    </w:rPr>
  </w:style>
  <w:style w:type="paragraph" w:styleId="9">
    <w:name w:val="Body Text First Indent 2"/>
    <w:basedOn w:val="5"/>
    <w:qFormat/>
    <w:uiPriority w:val="0"/>
    <w:pPr>
      <w:ind w:left="0" w:leftChars="0" w:firstLine="560" w:firstLineChars="200"/>
    </w:pPr>
    <w:rPr>
      <w:sz w:val="28"/>
    </w:rPr>
  </w:style>
  <w:style w:type="character" w:styleId="12">
    <w:name w:val="page number"/>
    <w:basedOn w:val="11"/>
    <w:qFormat/>
    <w:uiPriority w:val="0"/>
  </w:style>
  <w:style w:type="paragraph" w:customStyle="1" w:styleId="13">
    <w:name w:val="样式1"/>
    <w:basedOn w:val="1"/>
    <w:next w:val="1"/>
    <w:qFormat/>
    <w:uiPriority w:val="0"/>
    <w:pPr>
      <w:keepNext/>
      <w:keepLines/>
      <w:spacing w:before="340" w:beforeLines="0" w:after="330" w:afterLines="0" w:line="576" w:lineRule="auto"/>
      <w:outlineLvl w:val="0"/>
    </w:pPr>
    <w:rPr>
      <w:rFonts w:hint="eastAsia" w:ascii="Times New Roman" w:hAnsi="Times New Roman" w:eastAsia="黑体" w:cs="Times New Roman"/>
      <w:kern w:val="44"/>
      <w:sz w:val="32"/>
    </w:rPr>
  </w:style>
  <w:style w:type="paragraph" w:customStyle="1" w:styleId="14">
    <w:name w:val="BodyText1I2"/>
    <w:basedOn w:val="15"/>
    <w:next w:val="16"/>
    <w:autoRedefine/>
    <w:qFormat/>
    <w:uiPriority w:val="0"/>
    <w:pPr>
      <w:spacing w:after="0"/>
      <w:ind w:firstLine="200" w:firstLineChars="200"/>
    </w:pPr>
    <w:rPr>
      <w:rFonts w:ascii="Calibri" w:hAnsi="Calibri"/>
    </w:rPr>
  </w:style>
  <w:style w:type="paragraph" w:customStyle="1" w:styleId="15">
    <w:name w:val="BodyTextIndent"/>
    <w:basedOn w:val="1"/>
    <w:next w:val="1"/>
    <w:autoRedefine/>
    <w:qFormat/>
    <w:uiPriority w:val="0"/>
    <w:pPr>
      <w:spacing w:after="120"/>
      <w:ind w:left="200" w:leftChars="200"/>
      <w:textAlignment w:val="baseline"/>
    </w:pPr>
    <w:rPr>
      <w:rFonts w:ascii="Times New Roman" w:hAnsi="Times New Roman" w:eastAsia="宋体"/>
      <w:szCs w:val="24"/>
    </w:rPr>
  </w:style>
  <w:style w:type="paragraph" w:customStyle="1" w:styleId="16">
    <w:name w:val="BodyText1I"/>
    <w:basedOn w:val="17"/>
    <w:next w:val="1"/>
    <w:qFormat/>
    <w:uiPriority w:val="0"/>
    <w:pPr>
      <w:ind w:firstLine="420" w:firstLineChars="100"/>
    </w:pPr>
  </w:style>
  <w:style w:type="paragraph" w:customStyle="1" w:styleId="17">
    <w:name w:val="BodyText"/>
    <w:basedOn w:val="1"/>
    <w:qFormat/>
    <w:uiPriority w:val="0"/>
    <w:pPr>
      <w:spacing w:after="120"/>
      <w:textAlignment w:val="baseline"/>
    </w:pPr>
  </w:style>
  <w:style w:type="paragraph" w:customStyle="1" w:styleId="18">
    <w:name w:val="Char"/>
    <w:basedOn w:val="1"/>
    <w:qFormat/>
    <w:uiPriority w:val="0"/>
    <w:rPr>
      <w:rFonts w:ascii="Arial" w:hAnsi="Arial" w:cs="Arial"/>
      <w:color w:val="000000"/>
      <w:sz w:val="20"/>
      <w:szCs w:val="20"/>
    </w:rPr>
  </w:style>
  <w:style w:type="paragraph" w:customStyle="1" w:styleId="19">
    <w:name w:val="Char1"/>
    <w:basedOn w:val="1"/>
    <w:qFormat/>
    <w:uiPriority w:val="0"/>
    <w:rPr>
      <w:rFonts w:ascii="Arial" w:hAnsi="Arial" w:cs="Arial"/>
      <w:color w:val="000000"/>
      <w:sz w:val="20"/>
      <w:szCs w:val="20"/>
    </w:rPr>
  </w:style>
  <w:style w:type="paragraph" w:customStyle="1" w:styleId="20">
    <w:name w:val="Table Text"/>
    <w:basedOn w:val="1"/>
    <w:semiHidden/>
    <w:qFormat/>
    <w:uiPriority w:val="0"/>
    <w:rPr>
      <w:rFonts w:ascii="仿宋" w:hAnsi="仿宋" w:eastAsia="仿宋" w:cs="仿宋"/>
      <w:sz w:val="24"/>
      <w:lang w:eastAsia="en-US"/>
    </w:rPr>
  </w:style>
  <w:style w:type="table" w:customStyle="1" w:styleId="21">
    <w:name w:val="Table Normal"/>
    <w:semiHidden/>
    <w:unhideWhenUsed/>
    <w:qFormat/>
    <w:uiPriority w:val="0"/>
    <w:tblPr>
      <w:tblCellMar>
        <w:top w:w="0" w:type="dxa"/>
        <w:left w:w="0" w:type="dxa"/>
        <w:bottom w:w="0" w:type="dxa"/>
        <w:right w:w="0" w:type="dxa"/>
      </w:tblCellMar>
    </w:tblPr>
  </w:style>
  <w:style w:type="character" w:customStyle="1" w:styleId="22">
    <w:name w:val="font11"/>
    <w:basedOn w:val="11"/>
    <w:qFormat/>
    <w:uiPriority w:val="0"/>
    <w:rPr>
      <w:rFonts w:hint="eastAsia" w:ascii="宋体" w:hAnsi="宋体" w:eastAsia="宋体" w:cs="宋体"/>
      <w:color w:val="000000"/>
      <w:sz w:val="24"/>
      <w:szCs w:val="24"/>
      <w:u w:val="none"/>
    </w:rPr>
  </w:style>
  <w:style w:type="character" w:customStyle="1" w:styleId="23">
    <w:name w:val="font31"/>
    <w:basedOn w:val="11"/>
    <w:qFormat/>
    <w:uiPriority w:val="0"/>
    <w:rPr>
      <w:rFonts w:hint="default" w:ascii="Times New Roman" w:hAnsi="Times New Roman" w:cs="Times New Roman"/>
      <w:color w:val="000000"/>
      <w:sz w:val="24"/>
      <w:szCs w:val="24"/>
      <w:u w:val="none"/>
    </w:rPr>
  </w:style>
  <w:style w:type="character" w:customStyle="1" w:styleId="24">
    <w:name w:val="font41"/>
    <w:basedOn w:val="11"/>
    <w:qFormat/>
    <w:uiPriority w:val="0"/>
    <w:rPr>
      <w:rFonts w:hint="default" w:ascii="Times New Roman" w:hAnsi="Times New Roman" w:cs="Times New Roman"/>
      <w:color w:val="000000"/>
      <w:sz w:val="28"/>
      <w:szCs w:val="28"/>
      <w:u w:val="none"/>
    </w:rPr>
  </w:style>
  <w:style w:type="character" w:customStyle="1" w:styleId="25">
    <w:name w:val="font21"/>
    <w:basedOn w:val="11"/>
    <w:qFormat/>
    <w:uiPriority w:val="0"/>
    <w:rPr>
      <w:rFonts w:hint="eastAsia" w:ascii="黑体" w:hAnsi="宋体" w:eastAsia="黑体" w:cs="黑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205</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2026-02-12T02:42:00Z</dcterms:created>
  <dc:creator>金鱼</dc:creator>
  <cp:lastModifiedBy>金鱼</cp:lastModifiedBy>
  <dcterms:modified xsi:type="dcterms:W3CDTF">2026-02-12T08:08:53Z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2BFA10A17D8F44B1B0D60D64B8AE4EB4_11</vt:lpwstr>
  </property>
  <property fmtid="{D5CDD505-2E9C-101B-9397-08002B2CF9AE}" pid="4" name="KSOTemplateDocerSaveRecord">
    <vt:lpwstr>eyJoZGlkIjoiMmI3MmY3OTdlN2YzYTBlY2IwYmMxZmJiMmFjOTRiOGQiLCJ1c2VySWQiOiIyNzA2NTY2OTQifQ==</vt:lpwstr>
  </property>
</Properties>
</file>