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b/>
          <w:color w:val="000000"/>
          <w:kern w:val="0"/>
          <w:sz w:val="44"/>
          <w:szCs w:val="44"/>
        </w:rPr>
      </w:pPr>
      <w:r>
        <w:rPr>
          <w:rFonts w:hint="eastAsia" w:ascii="黑体" w:hAnsi="黑体" w:eastAsia="黑体" w:cs="黑体"/>
          <w:sz w:val="32"/>
          <w:szCs w:val="32"/>
          <w:lang w:val="en-US" w:eastAsia="zh-CN"/>
        </w:rPr>
        <w:t>附件16</w:t>
      </w:r>
    </w:p>
    <w:p>
      <w:pPr>
        <w:spacing w:line="360" w:lineRule="auto"/>
        <w:ind w:firstLine="880" w:firstLineChars="200"/>
        <w:jc w:val="center"/>
        <w:rPr>
          <w:rFonts w:hint="eastAsia" w:ascii="黑体" w:hAnsi="黑体" w:eastAsia="黑体" w:cs="黑体"/>
          <w:b w:val="0"/>
          <w:bCs/>
          <w:color w:val="000000"/>
          <w:sz w:val="44"/>
          <w:szCs w:val="44"/>
        </w:rPr>
      </w:pPr>
      <w:bookmarkStart w:id="0" w:name="_GoBack"/>
      <w:r>
        <w:rPr>
          <w:rFonts w:hint="eastAsia" w:ascii="黑体" w:hAnsi="黑体" w:eastAsia="黑体" w:cs="黑体"/>
          <w:b w:val="0"/>
          <w:bCs/>
          <w:color w:val="000000"/>
          <w:kern w:val="0"/>
          <w:sz w:val="44"/>
          <w:szCs w:val="44"/>
        </w:rPr>
        <w:t>煤炭采购管理办法</w:t>
      </w:r>
      <w:bookmarkEnd w:id="0"/>
    </w:p>
    <w:p>
      <w:pPr>
        <w:keepNext w:val="0"/>
        <w:keepLines w:val="0"/>
        <w:pageBreakBefore w:val="0"/>
        <w:widowControl/>
        <w:kinsoku/>
        <w:wordWrap/>
        <w:overflowPunct/>
        <w:topLinePunct w:val="0"/>
        <w:autoSpaceDE/>
        <w:autoSpaceDN/>
        <w:bidi w:val="0"/>
        <w:adjustRightInd/>
        <w:spacing w:line="560" w:lineRule="exact"/>
        <w:ind w:firstLine="643" w:firstLineChars="200"/>
        <w:jc w:val="center"/>
        <w:textAlignment w:val="auto"/>
        <w:rPr>
          <w:rFonts w:hint="eastAsia" w:ascii="黑体" w:hAnsi="黑体" w:eastAsia="黑体" w:cs="黑体"/>
          <w:b/>
          <w:color w:val="000000"/>
          <w:kern w:val="0"/>
          <w:sz w:val="32"/>
          <w:szCs w:val="32"/>
        </w:rPr>
      </w:pP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黑体" w:hAnsi="黑体" w:eastAsia="黑体" w:cs="黑体"/>
          <w:b w:val="0"/>
          <w:bCs/>
          <w:color w:val="000000"/>
          <w:kern w:val="0"/>
          <w:sz w:val="32"/>
          <w:szCs w:val="32"/>
        </w:rPr>
      </w:pPr>
      <w:r>
        <w:rPr>
          <w:rFonts w:hint="eastAsia" w:ascii="黑体" w:hAnsi="黑体" w:eastAsia="黑体" w:cs="黑体"/>
          <w:b w:val="0"/>
          <w:bCs/>
          <w:color w:val="000000"/>
          <w:kern w:val="0"/>
          <w:sz w:val="32"/>
          <w:szCs w:val="32"/>
        </w:rPr>
        <w:t>第一章  总则</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宋体" w:hAnsi="宋体" w:cs="仿宋_GB2312"/>
          <w:color w:val="FF0000"/>
          <w:sz w:val="30"/>
          <w:szCs w:val="30"/>
        </w:rPr>
      </w:pPr>
      <w:r>
        <w:rPr>
          <w:rFonts w:hint="eastAsia" w:ascii="仿宋_GB2312" w:hAnsi="宋体" w:eastAsia="仿宋_GB2312" w:cs="仿宋_GB2312"/>
          <w:b/>
          <w:bCs w:val="0"/>
          <w:kern w:val="2"/>
          <w:sz w:val="32"/>
          <w:szCs w:val="32"/>
          <w:lang w:val="en-US" w:eastAsia="zh-CN" w:bidi="ar-SA"/>
        </w:rPr>
        <w:t>第一条</w:t>
      </w:r>
      <w:r>
        <w:rPr>
          <w:rFonts w:hint="eastAsia" w:ascii="仿宋_GB2312" w:hAnsi="宋体" w:eastAsia="仿宋_GB2312" w:cs="仿宋_GB2312"/>
          <w:b w:val="0"/>
          <w:bCs/>
          <w:kern w:val="2"/>
          <w:sz w:val="32"/>
          <w:szCs w:val="32"/>
          <w:lang w:val="en-US" w:eastAsia="zh-CN" w:bidi="ar-SA"/>
        </w:rPr>
        <w:t xml:space="preserve"> 为加强公司煤炭采购的管理，规范煤炭采购流程，降低采购成本，拓宽煤炭采购渠道，结合公司实际，制定本办法。</w:t>
      </w:r>
      <w:r>
        <w:rPr>
          <w:rFonts w:hint="eastAsia" w:ascii="宋体" w:hAnsi="宋体" w:cs="仿宋_GB2312"/>
          <w:b/>
          <w:color w:val="000000"/>
          <w:kern w:val="0"/>
          <w:sz w:val="30"/>
          <w:szCs w:val="30"/>
        </w:rPr>
        <w:t xml:space="preserve"> </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center"/>
        <w:textAlignment w:val="auto"/>
        <w:rPr>
          <w:rFonts w:hint="eastAsia" w:ascii="黑体" w:hAnsi="黑体" w:eastAsia="黑体" w:cs="黑体"/>
          <w:b/>
          <w:color w:val="000000"/>
          <w:kern w:val="0"/>
          <w:sz w:val="32"/>
          <w:szCs w:val="32"/>
        </w:rPr>
      </w:pPr>
      <w:r>
        <w:rPr>
          <w:rFonts w:hint="eastAsia" w:ascii="黑体" w:hAnsi="黑体" w:eastAsia="黑体" w:cs="黑体"/>
          <w:b w:val="0"/>
          <w:bCs/>
          <w:color w:val="000000"/>
          <w:kern w:val="0"/>
          <w:sz w:val="32"/>
          <w:szCs w:val="32"/>
        </w:rPr>
        <w:t>第二章  管理机构及职责</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第二条</w:t>
      </w:r>
      <w:r>
        <w:rPr>
          <w:rFonts w:hint="eastAsia" w:ascii="仿宋_GB2312" w:hAnsi="宋体" w:eastAsia="仿宋_GB2312" w:cs="仿宋_GB2312"/>
          <w:b w:val="0"/>
          <w:bCs/>
          <w:kern w:val="2"/>
          <w:sz w:val="32"/>
          <w:szCs w:val="32"/>
          <w:lang w:val="en-US" w:eastAsia="zh-CN" w:bidi="ar-SA"/>
        </w:rPr>
        <w:t xml:space="preserve"> 经管物资部负责煤炭采购考核工作。负责与生产技术部、销售采购部制定完善的煤炭管理、监督、考核制度并组织落实。</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第三条</w:t>
      </w:r>
      <w:r>
        <w:rPr>
          <w:rFonts w:hint="eastAsia" w:ascii="仿宋_GB2312" w:hAnsi="宋体" w:eastAsia="仿宋_GB2312" w:cs="仿宋_GB2312"/>
          <w:b w:val="0"/>
          <w:bCs/>
          <w:kern w:val="2"/>
          <w:sz w:val="32"/>
          <w:szCs w:val="32"/>
          <w:lang w:val="en-US" w:eastAsia="zh-CN" w:bidi="ar-SA"/>
        </w:rPr>
        <w:t xml:space="preserve"> 销售采购部为煤炭采购部门。负责与供应商签订煤炭供应合同及费用结算工作；负责按公司生产需求组织煤炭进厂，保证公司正常生产用煤；负责煤炭供应商管理，从源头把好煤炭质量关；负责煤炭到货数量及费用统计，向财务部提供月度及周煤炭采购资金计划及报表；负责收集煤炭价格信息，根据市场变化，及时向公司提供决策依据。</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第四条</w:t>
      </w:r>
      <w:r>
        <w:rPr>
          <w:rFonts w:hint="eastAsia" w:ascii="仿宋_GB2312" w:hAnsi="宋体" w:eastAsia="仿宋_GB2312" w:cs="仿宋_GB2312"/>
          <w:b w:val="0"/>
          <w:bCs/>
          <w:kern w:val="2"/>
          <w:sz w:val="32"/>
          <w:szCs w:val="32"/>
          <w:lang w:val="en-US" w:eastAsia="zh-CN" w:bidi="ar-SA"/>
        </w:rPr>
        <w:t xml:space="preserve"> 生产调度中心负责进厂煤炭日常计量管理，对销售采购部提供的煤炭进厂数量进行复核，确保计量数据的准确性和连续性；负责对煤炭进厂后进行取样、分析、检查并及时向销售采购部等关部门提供煤炭质量分析报告和数量计量单据等相关数据资料；负责配合销售采购部等相关部门处理有关煤质纠纷和计量纠纷。</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第五条</w:t>
      </w:r>
      <w:r>
        <w:rPr>
          <w:rFonts w:hint="eastAsia" w:ascii="仿宋_GB2312" w:hAnsi="宋体" w:eastAsia="仿宋_GB2312" w:cs="仿宋_GB2312"/>
          <w:b w:val="0"/>
          <w:bCs/>
          <w:kern w:val="2"/>
          <w:sz w:val="32"/>
          <w:szCs w:val="32"/>
          <w:lang w:val="en-US" w:eastAsia="zh-CN" w:bidi="ar-SA"/>
        </w:rPr>
        <w:t xml:space="preserve"> 生产技术部负责进厂煤炭的及时、安全接收、卸车、储存、转运、配烧等相关工作；负责向经管物资部、销售采购部等相关部门提供日常、月度各类煤炭库存情况，煤炭消耗等相关数据资料。</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第六条</w:t>
      </w:r>
      <w:r>
        <w:rPr>
          <w:rFonts w:hint="eastAsia" w:ascii="仿宋_GB2312" w:hAnsi="宋体" w:eastAsia="仿宋_GB2312" w:cs="仿宋_GB2312"/>
          <w:b w:val="0"/>
          <w:bCs/>
          <w:kern w:val="2"/>
          <w:sz w:val="32"/>
          <w:szCs w:val="32"/>
          <w:lang w:val="en-US" w:eastAsia="zh-CN" w:bidi="ar-SA"/>
        </w:rPr>
        <w:t xml:space="preserve"> 财务部负责按公司审定的资金预算安排煤炭采购资金的支付；负责对煤炭到货计量及费用的复核。</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center"/>
        <w:textAlignment w:val="auto"/>
        <w:rPr>
          <w:rFonts w:hint="eastAsia" w:ascii="黑体" w:hAnsi="黑体" w:eastAsia="黑体" w:cs="黑体"/>
          <w:b/>
          <w:color w:val="000000"/>
          <w:kern w:val="0"/>
          <w:sz w:val="32"/>
          <w:szCs w:val="32"/>
        </w:rPr>
      </w:pPr>
      <w:r>
        <w:rPr>
          <w:rFonts w:hint="eastAsia" w:ascii="黑体" w:hAnsi="黑体" w:eastAsia="黑体" w:cs="黑体"/>
          <w:b w:val="0"/>
          <w:bCs/>
          <w:color w:val="000000"/>
          <w:kern w:val="0"/>
          <w:sz w:val="32"/>
          <w:szCs w:val="32"/>
        </w:rPr>
        <w:t>第三章  计划管理</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第七条</w:t>
      </w:r>
      <w:r>
        <w:rPr>
          <w:rFonts w:hint="eastAsia" w:ascii="仿宋_GB2312" w:hAnsi="宋体" w:eastAsia="仿宋_GB2312" w:cs="仿宋_GB2312"/>
          <w:b w:val="0"/>
          <w:bCs/>
          <w:kern w:val="2"/>
          <w:sz w:val="32"/>
          <w:szCs w:val="32"/>
          <w:lang w:val="en-US" w:eastAsia="zh-CN" w:bidi="ar-SA"/>
        </w:rPr>
        <w:t xml:space="preserve"> 生产技术部根据年度（月度）生产计划和煤炭消耗定额编制煤炭需求计划，报公司审定。</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第八条</w:t>
      </w:r>
      <w:r>
        <w:rPr>
          <w:rFonts w:hint="eastAsia" w:ascii="仿宋_GB2312" w:hAnsi="宋体" w:eastAsia="仿宋_GB2312" w:cs="仿宋_GB2312"/>
          <w:b w:val="0"/>
          <w:bCs/>
          <w:kern w:val="2"/>
          <w:sz w:val="32"/>
          <w:szCs w:val="32"/>
          <w:lang w:val="en-US" w:eastAsia="zh-CN" w:bidi="ar-SA"/>
        </w:rPr>
        <w:t xml:space="preserve"> 销售采购部根据公司年度（月度）煤炭需求计划，结合煤炭实际库存，以及煤矿资源的供应情况、运输发运情况、下月煤炭市场价格趋势等相关信息，向财务部报送年度（月度）煤炭采购资金计划，向供应商送达年度（月度）煤炭采购计划。</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第九条</w:t>
      </w:r>
      <w:r>
        <w:rPr>
          <w:rFonts w:hint="eastAsia" w:ascii="仿宋_GB2312" w:hAnsi="宋体" w:eastAsia="仿宋_GB2312" w:cs="仿宋_GB2312"/>
          <w:b w:val="0"/>
          <w:bCs/>
          <w:kern w:val="2"/>
          <w:sz w:val="32"/>
          <w:szCs w:val="32"/>
          <w:lang w:val="en-US" w:eastAsia="zh-CN" w:bidi="ar-SA"/>
        </w:rPr>
        <w:t xml:space="preserve"> 当遇到外部煤炭市场资源紧张，运输困难，厂内煤炭库存处于警戒线以下等特殊情况时，为了确保公司正常生产用煤，需采购煤炭的计划和资金，经公司分管副总经理、总经理批准后，销售采购部启动煤炭紧急采购预案，财务部保证资金支付。</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黑体" w:hAnsi="黑体" w:eastAsia="黑体" w:cs="黑体"/>
          <w:b w:val="0"/>
          <w:bCs/>
          <w:color w:val="000000"/>
          <w:kern w:val="0"/>
          <w:sz w:val="32"/>
          <w:szCs w:val="32"/>
          <w:lang w:eastAsia="zh-CN"/>
        </w:rPr>
      </w:pPr>
      <w:r>
        <w:rPr>
          <w:rFonts w:hint="eastAsia" w:ascii="黑体" w:hAnsi="黑体" w:eastAsia="黑体" w:cs="黑体"/>
          <w:b w:val="0"/>
          <w:bCs/>
          <w:color w:val="000000"/>
          <w:kern w:val="0"/>
          <w:sz w:val="32"/>
          <w:szCs w:val="32"/>
        </w:rPr>
        <w:t>第四章  煤炭采购</w:t>
      </w:r>
      <w:r>
        <w:rPr>
          <w:rFonts w:hint="eastAsia" w:ascii="黑体" w:hAnsi="黑体" w:eastAsia="黑体" w:cs="黑体"/>
          <w:b w:val="0"/>
          <w:bCs/>
          <w:color w:val="000000"/>
          <w:kern w:val="0"/>
          <w:sz w:val="32"/>
          <w:szCs w:val="32"/>
          <w:lang w:val="en-US" w:eastAsia="zh-CN"/>
        </w:rPr>
        <w:t>流程</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第十条</w:t>
      </w:r>
      <w:r>
        <w:rPr>
          <w:rFonts w:hint="eastAsia" w:ascii="仿宋_GB2312" w:hAnsi="宋体" w:eastAsia="仿宋_GB2312" w:cs="仿宋_GB2312"/>
          <w:b w:val="0"/>
          <w:bCs/>
          <w:kern w:val="2"/>
          <w:sz w:val="32"/>
          <w:szCs w:val="32"/>
          <w:lang w:val="en-US" w:eastAsia="zh-CN" w:bidi="ar-SA"/>
        </w:rPr>
        <w:t xml:space="preserve"> 销售采购部根据煤质厂控指标和年度需求量选择适合的矿源，并与其签订年度长协合同；</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第十一条</w:t>
      </w:r>
      <w:r>
        <w:rPr>
          <w:rFonts w:hint="eastAsia" w:ascii="仿宋_GB2312" w:hAnsi="宋体" w:eastAsia="仿宋_GB2312" w:cs="仿宋_GB2312"/>
          <w:b w:val="0"/>
          <w:bCs/>
          <w:kern w:val="2"/>
          <w:sz w:val="32"/>
          <w:szCs w:val="32"/>
          <w:lang w:val="en-US" w:eastAsia="zh-CN" w:bidi="ar-SA"/>
        </w:rPr>
        <w:t xml:space="preserve"> 煤炭采购原则：首选长协供应矿采购，当长协供应矿二家以上时，首选性价比高的采购（兼顾日供应量和长期合同关系），当长协供应矿不能满足生产所需时，可以优先选择其他适合煤矿采购，其他煤矿仍然无法满足时，方可选择适合的煤场或贸易商采购。 </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第十二条</w:t>
      </w:r>
      <w:r>
        <w:rPr>
          <w:rFonts w:hint="eastAsia" w:ascii="仿宋_GB2312" w:hAnsi="宋体" w:eastAsia="仿宋_GB2312" w:cs="仿宋_GB2312"/>
          <w:b w:val="0"/>
          <w:bCs/>
          <w:kern w:val="2"/>
          <w:sz w:val="32"/>
          <w:szCs w:val="32"/>
          <w:lang w:val="en-US" w:eastAsia="zh-CN" w:bidi="ar-SA"/>
        </w:rPr>
        <w:t xml:space="preserve"> 对长协供应矿以外的采购，均为临时应急性采购，销售采购部必须对形成原因，当时的市场情况，可供选择的煤矿或煤场的煤质、价格、运输等情况，进行调研、分析、比较，并写出情况报告，报分管领导、总经理审批后方可购买。</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第十三条</w:t>
      </w:r>
      <w:r>
        <w:rPr>
          <w:rFonts w:hint="eastAsia" w:ascii="仿宋_GB2312" w:hAnsi="宋体" w:eastAsia="仿宋_GB2312" w:cs="仿宋_GB2312"/>
          <w:b w:val="0"/>
          <w:bCs/>
          <w:kern w:val="2"/>
          <w:sz w:val="32"/>
          <w:szCs w:val="32"/>
          <w:lang w:val="en-US" w:eastAsia="zh-CN" w:bidi="ar-SA"/>
        </w:rPr>
        <w:t xml:space="preserve"> 煤炭采购资金的支付根据煤炭库存和生产实际，以及各矿源出矿价和煤质，编制每批次煤炭采购计划表，经部门领导审核、分管领导同意、总经理审批后执行。见附表（各矿煤质、预付款余额、建议采购数量、出矿单价、运费、需要支付金等）。</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default"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 xml:space="preserve">第十四条 </w:t>
      </w:r>
      <w:r>
        <w:rPr>
          <w:rFonts w:hint="eastAsia" w:ascii="仿宋_GB2312" w:hAnsi="宋体" w:eastAsia="仿宋_GB2312" w:cs="仿宋_GB2312"/>
          <w:b w:val="0"/>
          <w:bCs/>
          <w:kern w:val="2"/>
          <w:sz w:val="32"/>
          <w:szCs w:val="32"/>
          <w:lang w:val="en-US" w:eastAsia="zh-CN" w:bidi="ar-SA"/>
        </w:rPr>
        <w:t>具体采购计划按照公司煤炭性价比测算及采购计划领导小组每日召开的专题会议，讨论决定执行。</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center"/>
        <w:textAlignment w:val="auto"/>
        <w:rPr>
          <w:rFonts w:hint="eastAsia" w:ascii="黑体" w:hAnsi="黑体" w:eastAsia="黑体" w:cs="黑体"/>
          <w:b/>
          <w:color w:val="000000"/>
          <w:kern w:val="0"/>
          <w:sz w:val="32"/>
          <w:szCs w:val="32"/>
        </w:rPr>
      </w:pPr>
      <w:r>
        <w:rPr>
          <w:rFonts w:hint="eastAsia" w:ascii="黑体" w:hAnsi="黑体" w:eastAsia="黑体" w:cs="黑体"/>
          <w:b w:val="0"/>
          <w:bCs/>
          <w:color w:val="000000"/>
          <w:kern w:val="0"/>
          <w:sz w:val="32"/>
          <w:szCs w:val="32"/>
        </w:rPr>
        <w:t>第五章  定价、计量与结算</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第十五条</w:t>
      </w:r>
      <w:r>
        <w:rPr>
          <w:rFonts w:hint="eastAsia" w:ascii="仿宋_GB2312" w:hAnsi="宋体" w:eastAsia="仿宋_GB2312" w:cs="仿宋_GB2312"/>
          <w:b w:val="0"/>
          <w:bCs/>
          <w:kern w:val="2"/>
          <w:sz w:val="32"/>
          <w:szCs w:val="32"/>
          <w:lang w:val="en-US" w:eastAsia="zh-CN" w:bidi="ar-SA"/>
        </w:rPr>
        <w:t xml:space="preserve"> 煤炭采购价格由两部分组成：出矿价和综合运费；出矿价以选定煤矿调价函或紧急采购报告批准的价格为准，综合运费：以国能580能源产业互联网平台公布的鄂尔多斯煤炭公路运价指数和运距计算，淮河能源集团西部煤炭公司唐家会煤矿动力煤按照协议固定价执行。</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第十六条</w:t>
      </w:r>
      <w:r>
        <w:rPr>
          <w:rFonts w:hint="eastAsia" w:ascii="仿宋_GB2312" w:hAnsi="宋体" w:eastAsia="仿宋_GB2312" w:cs="仿宋_GB2312"/>
          <w:b w:val="0"/>
          <w:bCs/>
          <w:kern w:val="2"/>
          <w:sz w:val="32"/>
          <w:szCs w:val="32"/>
          <w:lang w:val="en-US" w:eastAsia="zh-CN" w:bidi="ar-SA"/>
        </w:rPr>
        <w:t xml:space="preserve"> 原料煤综合运费按月定价，每月根据上月10日、20日、30日国能580能源产业互联网平台公布的鄂尔多斯煤炭中途公路运价算术平均数下浮20%和运距计算。当大路园区内企业在同一矿源运输，运输价格与上述计算运输价格相差超过3%以上，经核实按照不超过3%给予相应调整。</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default"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第十七条</w:t>
      </w:r>
      <w:r>
        <w:rPr>
          <w:rFonts w:hint="eastAsia" w:ascii="仿宋_GB2312" w:hAnsi="宋体" w:eastAsia="仿宋_GB2312" w:cs="仿宋_GB2312"/>
          <w:b w:val="0"/>
          <w:bCs/>
          <w:kern w:val="2"/>
          <w:sz w:val="32"/>
          <w:szCs w:val="32"/>
          <w:lang w:val="en-US" w:eastAsia="zh-CN" w:bidi="ar-SA"/>
        </w:rPr>
        <w:t xml:space="preserve"> 动力煤综合运费：唐家会矿按照以前年度签订协议固定价执行，沙咀子、华富、国源煤矿运费按月定价，每月根据上月10日、20日、30日国能580能源产业互联网平台公布的鄂尔多斯煤炭短途公路运价算术平均数下浮41.6%和运距计算，其他紧急采购按照临时比价结果执行。</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第十八条</w:t>
      </w:r>
      <w:r>
        <w:rPr>
          <w:rFonts w:hint="eastAsia" w:ascii="仿宋_GB2312" w:hAnsi="宋体" w:eastAsia="仿宋_GB2312" w:cs="仿宋_GB2312"/>
          <w:b w:val="0"/>
          <w:bCs/>
          <w:kern w:val="2"/>
          <w:sz w:val="32"/>
          <w:szCs w:val="32"/>
          <w:lang w:val="en-US" w:eastAsia="zh-CN" w:bidi="ar-SA"/>
        </w:rPr>
        <w:t xml:space="preserve"> 煤炭计量以出矿磅单为准，到厂过磅计量在3</w:t>
      </w:r>
      <w:r>
        <w:rPr>
          <w:rFonts w:hint="default" w:ascii="仿宋_GB2312" w:hAnsi="宋体" w:eastAsia="仿宋_GB2312" w:cs="仿宋_GB2312"/>
          <w:b w:val="0"/>
          <w:bCs/>
          <w:kern w:val="2"/>
          <w:sz w:val="32"/>
          <w:szCs w:val="32"/>
          <w:lang w:val="en-US" w:eastAsia="zh-CN" w:bidi="ar-SA"/>
        </w:rPr>
        <w:t>‰</w:t>
      </w:r>
      <w:r>
        <w:rPr>
          <w:rFonts w:hint="eastAsia" w:ascii="仿宋_GB2312" w:hAnsi="宋体" w:eastAsia="仿宋_GB2312" w:cs="仿宋_GB2312"/>
          <w:b w:val="0"/>
          <w:bCs/>
          <w:kern w:val="2"/>
          <w:sz w:val="32"/>
          <w:szCs w:val="32"/>
          <w:lang w:val="en-US" w:eastAsia="zh-CN" w:bidi="ar-SA"/>
        </w:rPr>
        <w:t>以内的为运输合理损耗，超过3</w:t>
      </w:r>
      <w:r>
        <w:rPr>
          <w:rFonts w:hint="default" w:ascii="仿宋_GB2312" w:hAnsi="宋体" w:eastAsia="仿宋_GB2312" w:cs="仿宋_GB2312"/>
          <w:b w:val="0"/>
          <w:bCs/>
          <w:kern w:val="2"/>
          <w:sz w:val="32"/>
          <w:szCs w:val="32"/>
          <w:lang w:val="en-US" w:eastAsia="zh-CN" w:bidi="ar-SA"/>
        </w:rPr>
        <w:t>‰</w:t>
      </w:r>
      <w:r>
        <w:rPr>
          <w:rFonts w:hint="eastAsia" w:ascii="仿宋_GB2312" w:hAnsi="宋体" w:eastAsia="仿宋_GB2312" w:cs="仿宋_GB2312"/>
          <w:b w:val="0"/>
          <w:bCs/>
          <w:kern w:val="2"/>
          <w:sz w:val="32"/>
          <w:szCs w:val="32"/>
          <w:lang w:val="en-US" w:eastAsia="zh-CN" w:bidi="ar-SA"/>
        </w:rPr>
        <w:t>由运输公司承担，从运输费用中直接扣除。</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第十九条</w:t>
      </w:r>
      <w:r>
        <w:rPr>
          <w:rFonts w:hint="eastAsia" w:ascii="仿宋_GB2312" w:hAnsi="宋体" w:eastAsia="仿宋_GB2312" w:cs="仿宋_GB2312"/>
          <w:b w:val="0"/>
          <w:bCs/>
          <w:kern w:val="2"/>
          <w:sz w:val="32"/>
          <w:szCs w:val="32"/>
          <w:lang w:val="en-US" w:eastAsia="zh-CN" w:bidi="ar-SA"/>
        </w:rPr>
        <w:t xml:space="preserve"> 公司销售采购部为煤炭采购合同的履行部门，应定期按照确定的煤炭采购价格和过磅计量数据与供应方核对，双方核对确认后，供应方开具增值税发票，发票经销售采购部负责人、公司经营副总经理、总经理签字后交财务部入账。财务部根据审核后的月度及周资金计划支付煤炭货款。</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第二十条</w:t>
      </w:r>
      <w:r>
        <w:rPr>
          <w:rFonts w:hint="eastAsia" w:ascii="仿宋_GB2312" w:hAnsi="宋体" w:eastAsia="仿宋_GB2312" w:cs="仿宋_GB2312"/>
          <w:b w:val="0"/>
          <w:bCs/>
          <w:kern w:val="2"/>
          <w:sz w:val="32"/>
          <w:szCs w:val="32"/>
          <w:lang w:val="en-US" w:eastAsia="zh-CN" w:bidi="ar-SA"/>
        </w:rPr>
        <w:t xml:space="preserve"> 销售采购部根据磅单统计编制煤炭月度供应报表一式两份，经司磅站、财务部复核后，一份交财务资部，一份留档备查。</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第二十一条</w:t>
      </w:r>
      <w:r>
        <w:rPr>
          <w:rFonts w:hint="eastAsia" w:ascii="仿宋_GB2312" w:hAnsi="宋体" w:eastAsia="仿宋_GB2312" w:cs="仿宋_GB2312"/>
          <w:b w:val="0"/>
          <w:bCs/>
          <w:kern w:val="2"/>
          <w:sz w:val="32"/>
          <w:szCs w:val="32"/>
          <w:lang w:val="en-US" w:eastAsia="zh-CN" w:bidi="ar-SA"/>
        </w:rPr>
        <w:t xml:space="preserve"> 经管物资部组织生产技术部、销售采购部等相关单位每月定期和不定期对煤炭库存进行盘点，并编制煤炭库存盘点表，核实盘盈盘亏原因，提供煤炭生产消耗、库存、采购量等相关信息。</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center"/>
        <w:textAlignment w:val="auto"/>
        <w:rPr>
          <w:rFonts w:hint="default" w:ascii="黑体" w:hAnsi="黑体" w:eastAsia="黑体" w:cs="黑体"/>
          <w:b/>
          <w:color w:val="000000"/>
          <w:kern w:val="0"/>
          <w:sz w:val="32"/>
          <w:szCs w:val="32"/>
          <w:lang w:val="en-US" w:eastAsia="zh-CN"/>
        </w:rPr>
      </w:pPr>
      <w:r>
        <w:rPr>
          <w:rFonts w:hint="eastAsia" w:ascii="黑体" w:hAnsi="黑体" w:eastAsia="黑体" w:cs="黑体"/>
          <w:b w:val="0"/>
          <w:bCs/>
          <w:color w:val="000000"/>
          <w:kern w:val="0"/>
          <w:sz w:val="32"/>
          <w:szCs w:val="32"/>
          <w:lang w:eastAsia="zh-CN"/>
        </w:rPr>
        <w:t>第六章</w:t>
      </w:r>
      <w:r>
        <w:rPr>
          <w:rFonts w:hint="eastAsia" w:ascii="黑体" w:hAnsi="黑体" w:eastAsia="黑体" w:cs="黑体"/>
          <w:b w:val="0"/>
          <w:bCs/>
          <w:color w:val="000000"/>
          <w:kern w:val="0"/>
          <w:sz w:val="32"/>
          <w:szCs w:val="32"/>
          <w:lang w:val="en-US" w:eastAsia="zh-CN"/>
        </w:rPr>
        <w:t xml:space="preserve">  煤炭质量、验收、检验管理</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第二十二条</w:t>
      </w:r>
      <w:r>
        <w:rPr>
          <w:rFonts w:hint="eastAsia" w:ascii="仿宋_GB2312" w:hAnsi="宋体" w:eastAsia="仿宋_GB2312" w:cs="仿宋_GB2312"/>
          <w:b w:val="0"/>
          <w:bCs/>
          <w:kern w:val="2"/>
          <w:sz w:val="32"/>
          <w:szCs w:val="32"/>
          <w:lang w:val="en-US" w:eastAsia="zh-CN" w:bidi="ar-SA"/>
        </w:rPr>
        <w:t xml:space="preserve"> 煤炭质量指标</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（一）动力煤质量指标：以收到基低位发热量、灰分、水分、硫含量。</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（二）原料煤质量指标：以收到基低位发热量、灰分、水分及灰熔融性流动温度（FT）℃。</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 xml:space="preserve">第二十三条 </w:t>
      </w:r>
      <w:r>
        <w:rPr>
          <w:rFonts w:hint="eastAsia" w:ascii="仿宋_GB2312" w:hAnsi="宋体" w:eastAsia="仿宋_GB2312" w:cs="仿宋_GB2312"/>
          <w:b w:val="0"/>
          <w:bCs/>
          <w:kern w:val="2"/>
          <w:sz w:val="32"/>
          <w:szCs w:val="32"/>
          <w:lang w:val="en-US" w:eastAsia="zh-CN" w:bidi="ar-SA"/>
        </w:rPr>
        <w:t>煤炭验收采样程序</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（一）煤炭进厂后，生产调度中心分析室应采用煤质快速分析仪进行采样、检测、分析，煤质主要指标合格方可卸煤，直到进煤结束。每日对同一矿源采样进行手工分析，并将分析结果作为考核依据。</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二）生产调度中心分析室进行煤炭取样时，须严格按照国家制定的相关煤炭采样、制样管理规定和我公司进厂煤炭采样、制样管理规定进行，并力求所取煤样具有均匀性、代表性，采样后由生产技术部分析人员制样、分样、留样、分析，确保煤样分析化验结果能准确代表煤炭的实际质量。</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三）分析人员应按GB474-2008《煤样的制备方法》对煤样进行制备，并留足封样。进厂煤炭只保留一个样品。留样瓶或封存袋上要粘贴封样标签，检签上应注明取样日期、取样地点、样品编号、封样人姓名等内容，并贴紧留样瓶或封存袋封口，样品编号应与分析报告单一致。建立留样登记记录。封样保存期为2个月。任何单位启封留样须经生产技术部批准后方可进行。</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 xml:space="preserve">第二十四条 </w:t>
      </w:r>
      <w:r>
        <w:rPr>
          <w:rFonts w:hint="eastAsia" w:ascii="仿宋_GB2312" w:hAnsi="宋体" w:eastAsia="仿宋_GB2312" w:cs="仿宋_GB2312"/>
          <w:b w:val="0"/>
          <w:bCs/>
          <w:kern w:val="2"/>
          <w:sz w:val="32"/>
          <w:szCs w:val="32"/>
          <w:lang w:val="en-US" w:eastAsia="zh-CN" w:bidi="ar-SA"/>
        </w:rPr>
        <w:t>质量检验</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（一）分析室应按现行有效的煤炭试验方法标准，对制备的煤样进行分析检验，建立煤炭分析数据台帐，保存煤炭分析数据记录。</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（二）分析室在取样分析完成后，及时将检验结果通过邮件通知销售采购部等相关部门；根据需要将分析纸质报表一式两份签字盖章报销售采购部。</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（三）有下列情况之一时，须进行二次取样：</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1.进厂煤炭一次取样分析合格，但在卸煤作业中发现有上下分层，夹杂有煤矸石或杂物的情况；</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2.直供时，入炉煤质分析与进厂煤质分析明显不一致；</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3.供应商对一次检验结果持有异议并提出复检要求的；</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（四）二次取样工作程序:</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1.由生产技术部、销售采购部等相关单位人员到现场共同二次取样。如发生供应商对一次检验结果持有异议并提出复检要求的情况需要二次取样时，销售采购部通知生产技术部、供应商等相关单位三方人员到现场共同二次取样。</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2.二次取样时，如需要供应商参加时，由销售采购部负责通知供应商到场。供应商在24小时内不能到厂参加取样，可用传真方式确认由销售采购部和生产调度中心共同进行二次取样，否则视为认同二次取样检验结果。</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3.销售采购部、生产调度中心、供应商人员到场后，生产技术部检验人员在听取销售采购部、供应商意见的基础上，明确取样方法及取样位置。取样后出具分析结果。销售采购部、生产调度中心、供应商共同对煤样进行封样备查。</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五）销售采购部负责比对分析化验结果（化验结果的传递方式、要求时间与第一次采样相同）。若二次采样分析结果与一次采样分析结果差异在合理范围内，可按一次采样的分析结果进行计算。如超出合理范围，则按二次采样分析结果进行计算。</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六）如销售采购部、生产调度中心、供应商任何一方对二次分析结果仍持异议，由异议方报告生产调度中心，经其认可后，由生产技术部取第二次封样，会同销售采购部、供应商送政府质检部门分析裁定。过失方对由此而造成的影响卸煤作业、滞车损失负责。</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第二十五条</w:t>
      </w:r>
      <w:r>
        <w:rPr>
          <w:rFonts w:hint="eastAsia" w:ascii="仿宋_GB2312" w:hAnsi="宋体" w:eastAsia="仿宋_GB2312" w:cs="仿宋_GB2312"/>
          <w:b w:val="0"/>
          <w:bCs/>
          <w:kern w:val="2"/>
          <w:sz w:val="32"/>
          <w:szCs w:val="32"/>
          <w:lang w:val="en-US" w:eastAsia="zh-CN" w:bidi="ar-SA"/>
        </w:rPr>
        <w:t xml:space="preserve"> 煤炭接收。按照公司《煤炭验收管理办法》执行。</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黑体" w:hAnsi="黑体" w:eastAsia="黑体" w:cs="黑体"/>
          <w:b w:val="0"/>
          <w:bCs/>
          <w:color w:val="000000"/>
          <w:kern w:val="0"/>
          <w:sz w:val="32"/>
          <w:szCs w:val="32"/>
          <w:lang w:eastAsia="zh-CN"/>
        </w:rPr>
      </w:pPr>
      <w:r>
        <w:rPr>
          <w:rFonts w:hint="eastAsia" w:ascii="黑体" w:hAnsi="黑体" w:eastAsia="黑体" w:cs="黑体"/>
          <w:b w:val="0"/>
          <w:bCs/>
          <w:color w:val="000000"/>
          <w:kern w:val="0"/>
          <w:sz w:val="32"/>
          <w:szCs w:val="32"/>
          <w:lang w:eastAsia="zh-CN"/>
        </w:rPr>
        <w:t>第七章  监督与考核</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第二十六条</w:t>
      </w:r>
      <w:r>
        <w:rPr>
          <w:rFonts w:hint="eastAsia" w:ascii="仿宋_GB2312" w:hAnsi="宋体" w:eastAsia="仿宋_GB2312" w:cs="仿宋_GB2312"/>
          <w:b w:val="0"/>
          <w:bCs/>
          <w:kern w:val="2"/>
          <w:sz w:val="32"/>
          <w:szCs w:val="32"/>
          <w:lang w:val="en-US" w:eastAsia="zh-CN" w:bidi="ar-SA"/>
        </w:rPr>
        <w:t xml:space="preserve"> 对供应商和运输单位的考核，由销售采购部根据分析室提供的煤炭灰分、水分、发热量等指标结果，按照合同约定进行考核计算，考核计算结果报部门负责人、公司经营副总审核，通知供应商执行。</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 xml:space="preserve">第二十七条 </w:t>
      </w:r>
      <w:r>
        <w:rPr>
          <w:rFonts w:hint="eastAsia" w:ascii="仿宋_GB2312" w:hAnsi="宋体" w:eastAsia="仿宋_GB2312" w:cs="仿宋_GB2312"/>
          <w:b w:val="0"/>
          <w:bCs/>
          <w:kern w:val="2"/>
          <w:sz w:val="32"/>
          <w:szCs w:val="32"/>
          <w:lang w:val="en-US" w:eastAsia="zh-CN" w:bidi="ar-SA"/>
        </w:rPr>
        <w:t>对销售采购部的考核，根据供应矿点的开发，煤炭采购成本的节约等，给予适当绩效奖励，对确因工作疏忽大意，造成煤炭供应不足，至减产、停产的给予适当的经济或行政处罚。</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第二十八条</w:t>
      </w:r>
      <w:r>
        <w:rPr>
          <w:rFonts w:hint="eastAsia" w:ascii="仿宋_GB2312" w:hAnsi="宋体" w:eastAsia="仿宋_GB2312" w:cs="仿宋_GB2312"/>
          <w:b w:val="0"/>
          <w:bCs/>
          <w:kern w:val="2"/>
          <w:sz w:val="32"/>
          <w:szCs w:val="32"/>
          <w:lang w:val="en-US" w:eastAsia="zh-CN" w:bidi="ar-SA"/>
        </w:rPr>
        <w:t xml:space="preserve"> 煤炭采购相关人员如有和供应商相互勾结，获取不正当利益，损害公司利益的行为，一经查实，解除劳动合同，触犯法律的移交司法机关处理。</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黑体" w:hAnsi="黑体" w:eastAsia="黑体" w:cs="黑体"/>
          <w:b w:val="0"/>
          <w:bCs/>
          <w:color w:val="000000"/>
          <w:kern w:val="0"/>
          <w:sz w:val="32"/>
          <w:szCs w:val="32"/>
          <w:lang w:eastAsia="zh-CN"/>
        </w:rPr>
      </w:pPr>
      <w:r>
        <w:rPr>
          <w:rFonts w:hint="eastAsia" w:ascii="黑体" w:hAnsi="黑体" w:eastAsia="黑体" w:cs="黑体"/>
          <w:b w:val="0"/>
          <w:bCs/>
          <w:color w:val="000000"/>
          <w:kern w:val="0"/>
          <w:sz w:val="32"/>
          <w:szCs w:val="32"/>
          <w:lang w:eastAsia="zh-CN"/>
        </w:rPr>
        <w:t>第</w:t>
      </w:r>
      <w:r>
        <w:rPr>
          <w:rFonts w:hint="eastAsia" w:ascii="黑体" w:hAnsi="黑体" w:eastAsia="黑体" w:cs="黑体"/>
          <w:b w:val="0"/>
          <w:bCs/>
          <w:color w:val="000000"/>
          <w:kern w:val="0"/>
          <w:sz w:val="32"/>
          <w:szCs w:val="32"/>
          <w:lang w:val="en-US" w:eastAsia="zh-CN"/>
        </w:rPr>
        <w:t>八</w:t>
      </w:r>
      <w:r>
        <w:rPr>
          <w:rFonts w:hint="eastAsia" w:ascii="黑体" w:hAnsi="黑体" w:eastAsia="黑体" w:cs="黑体"/>
          <w:b w:val="0"/>
          <w:bCs/>
          <w:color w:val="000000"/>
          <w:kern w:val="0"/>
          <w:sz w:val="32"/>
          <w:szCs w:val="32"/>
          <w:lang w:eastAsia="zh-CN"/>
        </w:rPr>
        <w:t>章</w:t>
      </w:r>
      <w:r>
        <w:rPr>
          <w:rFonts w:hint="eastAsia" w:ascii="黑体" w:hAnsi="黑体" w:eastAsia="黑体" w:cs="黑体"/>
          <w:b w:val="0"/>
          <w:bCs/>
          <w:color w:val="000000"/>
          <w:kern w:val="0"/>
          <w:sz w:val="32"/>
          <w:szCs w:val="32"/>
          <w:lang w:val="en-US" w:eastAsia="zh-CN"/>
        </w:rPr>
        <w:t xml:space="preserve">  </w:t>
      </w:r>
      <w:r>
        <w:rPr>
          <w:rFonts w:hint="eastAsia" w:ascii="黑体" w:hAnsi="黑体" w:eastAsia="黑体" w:cs="黑体"/>
          <w:b w:val="0"/>
          <w:bCs/>
          <w:color w:val="000000"/>
          <w:kern w:val="0"/>
          <w:sz w:val="32"/>
          <w:szCs w:val="32"/>
          <w:lang w:eastAsia="zh-CN"/>
        </w:rPr>
        <w:t>附则</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bCs w:val="0"/>
          <w:kern w:val="2"/>
          <w:sz w:val="32"/>
          <w:szCs w:val="32"/>
          <w:lang w:val="en-US" w:eastAsia="zh-CN" w:bidi="ar-SA"/>
        </w:rPr>
        <w:t>第二十九条</w:t>
      </w:r>
      <w:r>
        <w:rPr>
          <w:rFonts w:hint="eastAsia" w:ascii="仿宋_GB2312" w:hAnsi="宋体" w:eastAsia="仿宋_GB2312" w:cs="仿宋_GB2312"/>
          <w:b w:val="0"/>
          <w:bCs/>
          <w:kern w:val="2"/>
          <w:sz w:val="32"/>
          <w:szCs w:val="32"/>
          <w:lang w:val="en-US" w:eastAsia="zh-CN" w:bidi="ar-SA"/>
        </w:rPr>
        <w:t xml:space="preserve"> 本办法自下发之日起执行。原公司[2023]11号文及原《西北能化公司煤炭采购管理办法》同时废止。</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r>
        <w:rPr>
          <w:rFonts w:hint="eastAsia" w:ascii="仿宋_GB2312" w:hAnsi="宋体" w:eastAsia="仿宋_GB2312" w:cs="仿宋_GB2312"/>
          <w:b w:val="0"/>
          <w:bCs/>
          <w:kern w:val="2"/>
          <w:sz w:val="32"/>
          <w:szCs w:val="32"/>
          <w:lang w:val="en-US" w:eastAsia="zh-CN" w:bidi="ar-SA"/>
        </w:rPr>
        <w:t>附表：批次煤炭采购计划表</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b w:val="0"/>
          <w:bCs/>
          <w:kern w:val="2"/>
          <w:sz w:val="32"/>
          <w:szCs w:val="32"/>
          <w:lang w:val="en-US" w:eastAsia="zh-CN" w:bidi="ar-SA"/>
        </w:rPr>
        <w:sectPr>
          <w:pgSz w:w="11906" w:h="16838"/>
          <w:pgMar w:top="1440" w:right="1800" w:bottom="1440" w:left="1800" w:header="851" w:footer="992" w:gutter="0"/>
          <w:cols w:space="720" w:num="1"/>
          <w:docGrid w:type="lines" w:linePitch="312" w:charSpace="0"/>
        </w:sectPr>
      </w:pPr>
    </w:p>
    <w:tbl>
      <w:tblPr>
        <w:tblStyle w:val="2"/>
        <w:tblW w:w="510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55"/>
        <w:gridCol w:w="1079"/>
        <w:gridCol w:w="840"/>
        <w:gridCol w:w="840"/>
        <w:gridCol w:w="1216"/>
        <w:gridCol w:w="1380"/>
        <w:gridCol w:w="1139"/>
        <w:gridCol w:w="1410"/>
        <w:gridCol w:w="1395"/>
        <w:gridCol w:w="1395"/>
        <w:gridCol w:w="1395"/>
        <w:gridCol w:w="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5000" w:type="pct"/>
            <w:gridSpan w:val="12"/>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44"/>
                <w:szCs w:val="44"/>
                <w:u w:val="none"/>
                <w:lang w:val="en-US" w:eastAsia="zh-CN" w:bidi="ar"/>
              </w:rPr>
              <w:t>批次煤炭采购计划表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50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煤矿名称</w:t>
            </w:r>
          </w:p>
        </w:tc>
        <w:tc>
          <w:tcPr>
            <w:tcW w:w="1373"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上次检测煤炭主要指标</w:t>
            </w:r>
          </w:p>
        </w:tc>
        <w:tc>
          <w:tcPr>
            <w:tcW w:w="476"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上次余额</w:t>
            </w:r>
          </w:p>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（万元）</w:t>
            </w:r>
          </w:p>
        </w:tc>
        <w:tc>
          <w:tcPr>
            <w:tcW w:w="39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采购量</w:t>
            </w:r>
          </w:p>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（吨）</w:t>
            </w:r>
          </w:p>
        </w:tc>
        <w:tc>
          <w:tcPr>
            <w:tcW w:w="487"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出矿价</w:t>
            </w:r>
          </w:p>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（元/吨）</w:t>
            </w:r>
          </w:p>
        </w:tc>
        <w:tc>
          <w:tcPr>
            <w:tcW w:w="48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运费</w:t>
            </w:r>
          </w:p>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（元/吨）</w:t>
            </w:r>
          </w:p>
        </w:tc>
        <w:tc>
          <w:tcPr>
            <w:tcW w:w="48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到厂价</w:t>
            </w:r>
          </w:p>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（元/吨）</w:t>
            </w:r>
          </w:p>
        </w:tc>
        <w:tc>
          <w:tcPr>
            <w:tcW w:w="48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计划付款</w:t>
            </w:r>
          </w:p>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（万元）</w:t>
            </w:r>
          </w:p>
        </w:tc>
        <w:tc>
          <w:tcPr>
            <w:tcW w:w="32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2"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c>
          <w:tcPr>
            <w:tcW w:w="37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发热量</w:t>
            </w:r>
          </w:p>
        </w:tc>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灰分</w:t>
            </w:r>
          </w:p>
        </w:tc>
        <w:tc>
          <w:tcPr>
            <w:tcW w:w="2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全水</w:t>
            </w:r>
          </w:p>
        </w:tc>
        <w:tc>
          <w:tcPr>
            <w:tcW w:w="41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灰熔点</w:t>
            </w:r>
          </w:p>
        </w:tc>
        <w:tc>
          <w:tcPr>
            <w:tcW w:w="476"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8"/>
                <w:szCs w:val="28"/>
                <w:u w:val="none"/>
              </w:rPr>
            </w:pPr>
          </w:p>
        </w:tc>
        <w:tc>
          <w:tcPr>
            <w:tcW w:w="39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8"/>
                <w:szCs w:val="28"/>
                <w:u w:val="none"/>
              </w:rPr>
            </w:pPr>
          </w:p>
        </w:tc>
        <w:tc>
          <w:tcPr>
            <w:tcW w:w="487"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8"/>
                <w:szCs w:val="28"/>
                <w:u w:val="none"/>
              </w:rPr>
            </w:pPr>
          </w:p>
        </w:tc>
        <w:tc>
          <w:tcPr>
            <w:tcW w:w="4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8"/>
                <w:szCs w:val="28"/>
                <w:u w:val="none"/>
              </w:rPr>
            </w:pPr>
          </w:p>
        </w:tc>
        <w:tc>
          <w:tcPr>
            <w:tcW w:w="4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8"/>
                <w:szCs w:val="28"/>
                <w:u w:val="none"/>
              </w:rPr>
            </w:pPr>
          </w:p>
        </w:tc>
        <w:tc>
          <w:tcPr>
            <w:tcW w:w="481"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8"/>
                <w:szCs w:val="28"/>
                <w:u w:val="none"/>
              </w:rPr>
            </w:pPr>
          </w:p>
        </w:tc>
        <w:tc>
          <w:tcPr>
            <w:tcW w:w="321"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37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41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39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48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48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48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48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37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41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39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48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48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48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48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37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41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39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48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48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48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48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37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41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39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48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48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48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48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37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41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39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48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48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48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48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2"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37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41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39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48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48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48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48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合 计</w:t>
            </w:r>
          </w:p>
        </w:tc>
        <w:tc>
          <w:tcPr>
            <w:tcW w:w="37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29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41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476"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39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48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48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48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48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c>
          <w:tcPr>
            <w:tcW w:w="321"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2"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373"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290"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290"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419"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476"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393"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487"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481"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481"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481"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321" w:type="pct"/>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02" w:type="pct"/>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总经理：</w:t>
            </w:r>
          </w:p>
        </w:tc>
        <w:tc>
          <w:tcPr>
            <w:tcW w:w="373" w:type="pct"/>
            <w:tcBorders>
              <w:top w:val="nil"/>
              <w:left w:val="nil"/>
              <w:bottom w:val="nil"/>
              <w:right w:val="nil"/>
            </w:tcBorders>
            <w:noWrap/>
            <w:vAlign w:val="center"/>
          </w:tcPr>
          <w:p>
            <w:pPr>
              <w:rPr>
                <w:rFonts w:hint="eastAsia" w:ascii="宋体" w:hAnsi="宋体" w:eastAsia="宋体" w:cs="宋体"/>
                <w:i w:val="0"/>
                <w:iCs w:val="0"/>
                <w:color w:val="000000"/>
                <w:sz w:val="28"/>
                <w:szCs w:val="28"/>
                <w:u w:val="none"/>
              </w:rPr>
            </w:pPr>
          </w:p>
        </w:tc>
        <w:tc>
          <w:tcPr>
            <w:tcW w:w="290" w:type="pct"/>
            <w:tcBorders>
              <w:top w:val="nil"/>
              <w:left w:val="nil"/>
              <w:bottom w:val="nil"/>
              <w:right w:val="nil"/>
            </w:tcBorders>
            <w:noWrap/>
            <w:vAlign w:val="center"/>
          </w:tcPr>
          <w:p>
            <w:pPr>
              <w:rPr>
                <w:rFonts w:hint="eastAsia" w:ascii="宋体" w:hAnsi="宋体" w:eastAsia="宋体" w:cs="宋体"/>
                <w:i w:val="0"/>
                <w:iCs w:val="0"/>
                <w:color w:val="000000"/>
                <w:sz w:val="28"/>
                <w:szCs w:val="28"/>
                <w:u w:val="none"/>
              </w:rPr>
            </w:pPr>
          </w:p>
        </w:tc>
        <w:tc>
          <w:tcPr>
            <w:tcW w:w="709" w:type="pct"/>
            <w:gridSpan w:val="2"/>
            <w:tcBorders>
              <w:top w:val="nil"/>
              <w:left w:val="nil"/>
              <w:bottom w:val="nil"/>
              <w:right w:val="nil"/>
            </w:tcBorders>
            <w:noWrap/>
            <w:vAlign w:val="center"/>
          </w:tcPr>
          <w:p>
            <w:pP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分管领导：</w:t>
            </w:r>
          </w:p>
        </w:tc>
        <w:tc>
          <w:tcPr>
            <w:tcW w:w="476" w:type="pct"/>
            <w:tcBorders>
              <w:top w:val="nil"/>
              <w:left w:val="nil"/>
              <w:bottom w:val="nil"/>
              <w:right w:val="nil"/>
            </w:tcBorders>
            <w:noWrap/>
            <w:vAlign w:val="center"/>
          </w:tcPr>
          <w:p>
            <w:pPr>
              <w:rPr>
                <w:rFonts w:hint="eastAsia" w:ascii="宋体" w:hAnsi="宋体" w:eastAsia="宋体" w:cs="宋体"/>
                <w:i w:val="0"/>
                <w:iCs w:val="0"/>
                <w:color w:val="000000"/>
                <w:sz w:val="28"/>
                <w:szCs w:val="28"/>
                <w:u w:val="none"/>
              </w:rPr>
            </w:pPr>
          </w:p>
        </w:tc>
        <w:tc>
          <w:tcPr>
            <w:tcW w:w="393" w:type="pct"/>
            <w:tcBorders>
              <w:top w:val="nil"/>
              <w:left w:val="nil"/>
              <w:bottom w:val="nil"/>
              <w:right w:val="nil"/>
            </w:tcBorders>
            <w:noWrap/>
            <w:vAlign w:val="center"/>
          </w:tcPr>
          <w:p>
            <w:pPr>
              <w:rPr>
                <w:rFonts w:hint="eastAsia" w:ascii="宋体" w:hAnsi="宋体" w:eastAsia="宋体" w:cs="宋体"/>
                <w:i w:val="0"/>
                <w:iCs w:val="0"/>
                <w:color w:val="000000"/>
                <w:sz w:val="28"/>
                <w:szCs w:val="28"/>
                <w:u w:val="none"/>
              </w:rPr>
            </w:pPr>
          </w:p>
        </w:tc>
        <w:tc>
          <w:tcPr>
            <w:tcW w:w="968" w:type="pct"/>
            <w:gridSpan w:val="2"/>
            <w:tcBorders>
              <w:top w:val="nil"/>
              <w:left w:val="nil"/>
              <w:bottom w:val="nil"/>
              <w:right w:val="nil"/>
            </w:tcBorders>
            <w:noWrap/>
            <w:vAlign w:val="center"/>
          </w:tcPr>
          <w:p>
            <w:pP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部门负责人：</w:t>
            </w:r>
          </w:p>
        </w:tc>
        <w:tc>
          <w:tcPr>
            <w:tcW w:w="481" w:type="pct"/>
            <w:tcBorders>
              <w:top w:val="nil"/>
              <w:left w:val="nil"/>
              <w:bottom w:val="nil"/>
              <w:right w:val="nil"/>
            </w:tcBorders>
            <w:noWrap/>
            <w:vAlign w:val="center"/>
          </w:tcPr>
          <w:p>
            <w:pPr>
              <w:rPr>
                <w:rFonts w:hint="eastAsia" w:ascii="宋体" w:hAnsi="宋体" w:eastAsia="宋体" w:cs="宋体"/>
                <w:i w:val="0"/>
                <w:iCs w:val="0"/>
                <w:color w:val="000000"/>
                <w:sz w:val="28"/>
                <w:szCs w:val="28"/>
                <w:u w:val="none"/>
              </w:rPr>
            </w:pPr>
          </w:p>
        </w:tc>
        <w:tc>
          <w:tcPr>
            <w:tcW w:w="803" w:type="pct"/>
            <w:gridSpan w:val="2"/>
            <w:tcBorders>
              <w:top w:val="nil"/>
              <w:left w:val="nil"/>
              <w:bottom w:val="nil"/>
              <w:right w:val="nil"/>
            </w:tcBorders>
            <w:noWrap/>
            <w:vAlign w:val="center"/>
          </w:tcPr>
          <w:p>
            <w:pP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制表：</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E96139"/>
    <w:rsid w:val="09E96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2024-01-18T03:42:00Z</dcterms:created>
  <dc:creator>烟花陨落ベ半城烟沙</dc:creator>
  <cp:lastModifiedBy>烟花陨落ベ半城烟沙</cp:lastModifiedBy>
  <dcterms:modified xsi:type="dcterms:W3CDTF">2024-01-18T06:39:12Z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