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附件13</w:t>
      </w:r>
    </w:p>
    <w:p>
      <w:pPr>
        <w:widowControl/>
        <w:jc w:val="center"/>
        <w:rPr>
          <w:rFonts w:ascii="黑体" w:hAnsi="宋体" w:eastAsia="黑体"/>
          <w:b w:val="0"/>
          <w:bCs w:val="0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 w:val="0"/>
          <w:bCs w:val="0"/>
          <w:color w:val="auto"/>
          <w:kern w:val="0"/>
          <w:sz w:val="44"/>
          <w:szCs w:val="44"/>
        </w:rPr>
        <w:t>发票、资金支出管理办法</w:t>
      </w:r>
    </w:p>
    <w:bookmarkEnd w:id="0"/>
    <w:p>
      <w:pPr>
        <w:widowControl/>
        <w:jc w:val="center"/>
        <w:rPr>
          <w:rFonts w:hint="eastAsia"/>
          <w:color w:val="auto"/>
        </w:rPr>
      </w:pPr>
      <w:r>
        <w:rPr>
          <w:rFonts w:hint="eastAsia" w:ascii="黑体" w:hAnsi="黑体" w:eastAsia="黑体"/>
          <w:color w:val="auto"/>
          <w:kern w:val="0"/>
          <w:sz w:val="31"/>
          <w:szCs w:val="31"/>
        </w:rPr>
        <w:t>第一章</w:t>
      </w:r>
      <w:r>
        <w:rPr>
          <w:rFonts w:hint="eastAsia" w:ascii="黑体" w:hAnsi="宋体" w:eastAsia="黑体"/>
          <w:color w:val="auto"/>
          <w:kern w:val="0"/>
          <w:sz w:val="31"/>
          <w:szCs w:val="31"/>
        </w:rPr>
        <w:t xml:space="preserve"> </w:t>
      </w:r>
      <w:r>
        <w:rPr>
          <w:rFonts w:hint="eastAsia" w:ascii="黑体" w:hAnsi="黑体" w:eastAsia="黑体"/>
          <w:color w:val="auto"/>
          <w:kern w:val="0"/>
          <w:sz w:val="31"/>
          <w:szCs w:val="31"/>
        </w:rPr>
        <w:t>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</w:rPr>
        <w:t>第一条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 为规范发票、资金支出管理，明确审批权限，防止财务运营风险，依据内部控制制度及集团公司有关文件规定，结合公司实际，特制定发票、资金支出管理办法。</w:t>
      </w:r>
    </w:p>
    <w:p>
      <w:pPr>
        <w:widowControl/>
        <w:jc w:val="center"/>
        <w:rPr>
          <w:rFonts w:hint="eastAsia" w:ascii="黑体" w:hAnsi="黑体" w:eastAsia="黑体"/>
          <w:color w:val="auto"/>
          <w:kern w:val="0"/>
          <w:sz w:val="31"/>
          <w:szCs w:val="31"/>
        </w:rPr>
      </w:pPr>
      <w:r>
        <w:rPr>
          <w:rFonts w:hint="eastAsia" w:ascii="黑体" w:hAnsi="黑体" w:eastAsia="黑体"/>
          <w:color w:val="auto"/>
          <w:kern w:val="0"/>
          <w:sz w:val="31"/>
          <w:szCs w:val="31"/>
        </w:rPr>
        <w:t xml:space="preserve">第二章 </w:t>
      </w:r>
      <w:r>
        <w:rPr>
          <w:rFonts w:hint="eastAsia" w:ascii="黑体" w:hAnsi="黑体" w:eastAsia="黑体"/>
          <w:color w:val="auto"/>
          <w:kern w:val="0"/>
          <w:sz w:val="31"/>
          <w:szCs w:val="31"/>
        </w:rPr>
        <w:t>发票管理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</w:rPr>
        <w:t>第二条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 开增值税发票，原则上应开具增值税专用发票，如确实无法开具增值税专用发票，应以不含税金额开具增值税普通发票。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</w:rPr>
        <w:t>第三条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 发票联签流程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（一）党建经费发票联签流程：经办人员→支部书记→人力资源部→财务部→分管经营副</w:t>
      </w:r>
      <w:r>
        <w:rPr>
          <w:rFonts w:hint="eastAsia" w:ascii="仿宋_GB2312" w:hAnsi="宋体" w:eastAsia="仿宋_GB2312" w:cs="仿宋_GB2312"/>
          <w:bCs/>
          <w:sz w:val="32"/>
          <w:szCs w:val="32"/>
          <w:lang w:val="en-US" w:eastAsia="zh-CN"/>
        </w:rPr>
        <w:t>总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经理→党委书记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（二）工会会费发票联签流程：经办人员→车间工会主席→工会副主席→财务部→经营副总经理→工会主席（或党委书记）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（三）工程发票联签流程：工程经办人员→工程总负责人→财务部→经营副总经理→总经理→董事长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（四）职工休假报销联签流程：经办人员→部门→分管副总经理→财务部→经营副总经理→总经理→董事长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（五）年薪制人员费用报销联签流程：综合部经办人员→综合部→财务部→经营副总经理→总经理→董事长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（六）租房报销联签流程：租房员工→部门→综合部→人力资源部→财务部→经营副总经理→总经理→董事长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（七）除上述以外发票联签流程：经办人员→部门→分管副总经理→财务部→经营副总经理→总经理→董事长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（八）审批人员外出期间，需要审核的发票应授权相关领导代签或先口头汇报事后补签。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（九）1万元以下的发票审签，由董事长授权总经理审批。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</w:rPr>
        <w:t>第四条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 经济业务完成后，经办人员2个月以内完成发票入账工作，如有特殊原因不能及时入账，由经办人员提出申请，分管领导审核后，报到财务部备案。但最迟不能超过6个月，超过期限，一次扣经办人员绩效工资100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</w:rPr>
        <w:t>第五条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 一项经济业务，如无特殊原因，一次性全额开票，一次性全额入账，禁止多次开票，多次入账，出现一次扣经办人员绩效工资100元；工程类发票按月度进度开票、入账；维保类发票按月或按季度开票、入账。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300" w:firstLine="620"/>
        <w:jc w:val="center"/>
        <w:rPr>
          <w:rFonts w:hint="eastAsia" w:ascii="黑体" w:hAnsi="黑体" w:eastAsia="黑体" w:cs="Times New Roman"/>
          <w:color w:val="auto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0"/>
          <w:sz w:val="31"/>
          <w:szCs w:val="31"/>
          <w:lang w:val="en-US" w:eastAsia="zh-CN" w:bidi="ar-SA"/>
        </w:rPr>
        <w:t>第三章 资金支出管理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</w:rPr>
        <w:t>第六条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 本办法所称资金是指公司所拥有或控制的现金、银行存款和银行电子承兑汇票（以下简称“票据”）。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</w:rPr>
        <w:t>第七条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 本办法资金管理包括资金预算管理、资金支出管理。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</w:rPr>
        <w:t>第八条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 公司资金预算管理坚持“以收定支，严控支出，确保重点”的原则。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（一）年度资金预算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公司依据年度经营及投资预算编制年度资金预算，经公司审议批准后报集团公司审定。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（二）月度资金资金预算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1.月度资金支出预算编制标准，一般款项支出原则是当月入账，当月排资金预算，次月付款；合同规定的预付款、零星报销款项支出原则是当月排资金计划，次月付款。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2.资金预算编制流程，每月24日各部门根据实际情况报月度资金需求计划，财务部根据各部门需求计划、账面欠款及资金收入汇编月度资金预算，次月初报经理办公会审议。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b/>
          <w:bCs w:val="0"/>
          <w:sz w:val="32"/>
          <w:szCs w:val="32"/>
        </w:rPr>
        <w:t>第九条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 资金支出联签流程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（一）党建经费资金支出联签流程：经办人员→支部书记→人力资源部→分管经营副经理→党委书记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（二）工会会费资金支出联签流程：经办人员→车间工会主席→工会副主席→经营副总经理→工会主席（或党委书记）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（三）工程资金支出联签流程：工程经办人员→工程总负责人→经营副总经理→总经理→董事长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（四）除上述以外资金支出联签流程：经办人员→部门→分管副总经理→经营副总经理→总经理→董事长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（五）1万元以下的资金支出由董事长授权总经理审批。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（六）审批人员外出期间，需要审批的资金支出应授权相关领导代签或先口头汇报事后补签。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</w:rPr>
        <w:t>第十条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 办理资金支出时应严格按照下列程序办理：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（一）资金支出申请。经办人员办理资金支出时，应向审批人提交付款审批单，注明合同名称、收款单位名称、账号、开户行（行号）、支出金额等内容。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（二）资金支出审批。审批人员依据经理办公会审议通过的月度资金预算进行审批；对于月度预算外的资金审批，须经公司主要领导同意后，方可审批，同时减少经办部门其他资金的支出。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（三）付款审核。财务人员对完成审批流程的付款审批单进行审核、确认，如为预付款项，经办人员须提供合同，财务人员对审核确认无误的付款审批单编制记账凭证。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（四）办理支出。出纳人员根据记账凭证及付款审批单，填制财务软件付款申请，经财务人员、公司领导审核后，提交财务公司审核。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</w:rPr>
        <w:t>第十一条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 财务部月末应对当月资金预算及资金预算执行情况实行闭合式管理，加强对各项经济业务认定和审批的合理性、合法性、真实性和完整性的监督，并及时作出书面分析，以进一步加强公司货币资金的管理。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</w:rPr>
        <w:t>第十二条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 财务部应加强货币资金管理基础工作，完善制度，明确职责分工和审批程序；定期进行账户的核对、清理和资金盘点工作；严格票据的保管、使用、销毁及银行预留印鉴的管理，进一步强化关键环节的风险控制</w:t>
      </w:r>
      <w:r>
        <w:rPr>
          <w:rFonts w:ascii="宋体" w:hAnsi="宋体" w:cs="Arial"/>
          <w:color w:val="auto"/>
          <w:sz w:val="32"/>
          <w:szCs w:val="32"/>
        </w:rPr>
        <w:t>。</w:t>
      </w:r>
    </w:p>
    <w:p>
      <w:pPr>
        <w:widowControl/>
        <w:jc w:val="center"/>
        <w:rPr>
          <w:rFonts w:hint="eastAsia" w:ascii="黑体" w:hAnsi="黑体" w:eastAsia="黑体"/>
          <w:color w:val="auto"/>
          <w:kern w:val="0"/>
          <w:sz w:val="31"/>
          <w:szCs w:val="31"/>
        </w:rPr>
      </w:pPr>
      <w:r>
        <w:rPr>
          <w:rFonts w:hint="eastAsia" w:ascii="黑体" w:hAnsi="黑体" w:eastAsia="黑体"/>
          <w:color w:val="auto"/>
          <w:kern w:val="0"/>
          <w:sz w:val="31"/>
          <w:szCs w:val="31"/>
        </w:rPr>
        <w:t xml:space="preserve">第四章 </w:t>
      </w:r>
      <w:r>
        <w:rPr>
          <w:rFonts w:hint="eastAsia" w:ascii="黑体" w:hAnsi="黑体" w:eastAsia="黑体"/>
          <w:color w:val="auto"/>
          <w:kern w:val="0"/>
          <w:sz w:val="31"/>
          <w:szCs w:val="31"/>
        </w:rPr>
        <w:t>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</w:rPr>
        <w:t>第十三条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 本制度自印发之日起执行，西北能化财〔2023〕71号《关于规范发票内部审批流程的通知》同时废止。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F4722"/>
    <w:rsid w:val="51D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next w:val="6"/>
    <w:qFormat/>
    <w:uiPriority w:val="0"/>
    <w:pPr>
      <w:spacing w:before="0" w:after="120" w:line="240" w:lineRule="auto"/>
      <w:ind w:left="420" w:leftChars="200" w:firstLine="420" w:firstLineChars="20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5">
    <w:name w:val="BodyTextIndent"/>
    <w:basedOn w:val="1"/>
    <w:next w:val="1"/>
    <w:qFormat/>
    <w:uiPriority w:val="0"/>
    <w:pPr>
      <w:spacing w:before="60" w:line="460" w:lineRule="exact"/>
      <w:ind w:firstLine="540" w:firstLineChars="200"/>
      <w:jc w:val="both"/>
      <w:textAlignment w:val="baseline"/>
    </w:pPr>
    <w:rPr>
      <w:kern w:val="2"/>
      <w:sz w:val="27"/>
      <w:szCs w:val="24"/>
      <w:lang w:val="en-US" w:eastAsia="zh-CN" w:bidi="ar-SA"/>
    </w:rPr>
  </w:style>
  <w:style w:type="paragraph" w:customStyle="1" w:styleId="6">
    <w:name w:val="BodyText1I"/>
    <w:basedOn w:val="7"/>
    <w:next w:val="1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7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2024-01-18T02:47:00Z</dcterms:created>
  <dc:creator>烟花陨落ベ半城烟沙</dc:creator>
  <cp:lastModifiedBy>烟花陨落ベ半城烟沙</cp:lastModifiedBy>
  <dcterms:modified xsi:type="dcterms:W3CDTF">2024-01-18T03:41:08Z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