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-197" w:rightChars="-94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default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Times New Roman" w:eastAsia="黑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应收款项管理办法</w:t>
      </w:r>
      <w:bookmarkEnd w:id="0"/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为加强企业内部控制，规范应收款项管理，保障资金正常周转，防范资金风险，提高资金使用效率，根据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集团公司</w:t>
      </w:r>
      <w:r>
        <w:rPr>
          <w:rFonts w:ascii="Times New Roman" w:hAnsi="Times New Roman" w:eastAsia="仿宋_GB2312" w:cs="Times New Roman"/>
          <w:sz w:val="32"/>
        </w:rPr>
        <w:t>应收</w:t>
      </w:r>
      <w:r>
        <w:rPr>
          <w:rFonts w:hint="eastAsia" w:eastAsia="仿宋_GB2312" w:cs="Times New Roman"/>
          <w:sz w:val="32"/>
          <w:lang w:val="en-US" w:eastAsia="zh-CN"/>
        </w:rPr>
        <w:t>款项</w:t>
      </w:r>
      <w:r>
        <w:rPr>
          <w:rFonts w:ascii="Times New Roman" w:hAnsi="Times New Roman" w:eastAsia="仿宋_GB2312" w:cs="Times New Roman"/>
          <w:sz w:val="32"/>
        </w:rPr>
        <w:t>管理办法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规定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，结合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实际情况，制定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本办法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成立应收款项领导小组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组  长：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党委书记/董事长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党委副书记/总经理/总工程师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副组长：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副总经理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副总师、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经管物资部、销售采购部、人力资源部、综合部、生产技术部、设备管理部、安全环保部、调度中心、财务部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领导小组下设办公室，办公室设在财务部。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职责分工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1.应收款项领导小组主要职责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负责审议应收款项管理办法，监督、指导应收款项管理工作。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2.办公室职责主要职责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负责应收款项管理办法制定；统筹应收款项的管理工作；对逾期应收款项进行催收。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本办法所称应收款项，包括应收账款、应收票据、其他应收款（含备用金）、预付账款（包括应付账款中属于预付账款性质的款项）。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 xml:space="preserve">第五条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财务部为应收票据管理部门，负责应收票据台账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管理，台账应详细反映应收票据的种类、出票人、付款人、承兑时间、金额增减变动以及业务经办人等信息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；票据的收取、保管、使用等应严格按《皖北煤电集团公司资金管理办法（修订）》（皖北煤电财务〔2023〕74号）相关规定执行。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 xml:space="preserve">第六条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应收款项核对管理。对于集团公司系统内单位的应收款项，应严格按照内部往来核对要求，及时确认挂账并每季核对，年度必须保持一致，杜绝单方挂账行为；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对于外委单位的应收款项，财务部季度初将应收款项发给业务部门，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业务经办部门应负责做好核对和催收工作，确保每季至少与对方单位核对一次，对账结果应形成对账确认书等书面材料并及时归档。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按照“谁经办，谁负责”的原则，实行应收款项实名负责制。应收款项经办人员为直接责任人，对经办应收款项的发生、收款、催收、清理、全过程负责。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业务人员岗位调整或离职时，必须对经办的应收款项进行交接，未办理交接手续的，人力资源部不得为其办理转岗或离职手续。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为降低预付款产生的坏账风险，公司应加强合同预付款源头审查，一般情况下预付款范围包括单一来源采购及维修、进口货物采购、非标货物采购、紧急情况下的物质采购、柴油及钢材采购、生产周期超过一个月货物采购、施工周期超过一个月的工程项目。合同规定的预付款一般情况下不超过合同总额30%，同时一般情况下合同要附有履约条款，相应的履约保证金或保函不得低于10%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财务部应建立应收款项台账，明确责任人员、结算时间。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1.依据合同支付预付款，经办人员需填写经办人姓名、付款时间，合同文号、供货单位、货物名称、合同金额、预付金额、备货周期、服务周期、结算时间。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临时</w:t>
      </w:r>
      <w:r>
        <w:rPr>
          <w:rFonts w:ascii="Times New Roman" w:hAnsi="Times New Roman" w:eastAsia="仿宋_GB2312" w:cs="Times New Roman"/>
          <w:sz w:val="32"/>
          <w:szCs w:val="32"/>
        </w:rPr>
        <w:t>备用金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经办人员需填写经办人姓名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付款时间、借款事由、冲账时间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第十一条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每月月底财务部根据应收款项到期情况，发布次月应收款项清欠任务。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对已支付的预付款，为尽快落实结算工作，特作如下规定：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1.工程施工形成的预付账款，应从支付给承包单位工程进度款中扣回。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采购、提供服务形成的预付款，原则上三个月内完成结算工作；如采购合同规定备货周期超过一个月以上的，从发货之日起算，三个月内完成结算工作；如服务合同服务周期超过一个月以上的，从服务周期结束之日起算，三个月内完成结算工作；如因特殊原因未能在规定时间内完成结算工作，须由部门经办人员报送原因说明，并写明结算时间，经部门负责人、分管领导审核后，报财务备案，方可延迟结算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3.备用金管理执行财务管理办法中的备用金管理规定。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第十三条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公司对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逾期应收款项纳入预警监控管理，预警款项认定标准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一般预警：账龄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6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个月以上至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年以内应收款项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红色预警：账龄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年以上以及逾期的应收款项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；公司对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纳入预警范围的应收款项建立预警台账，定期对照认定标准，调整预警款项等级和预警款项金额。制定有针对性的清收方案，明确责任人和清收时限，逐一跟踪回款直至解除预警。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对集团下达年度清欠任务的应收款项，应收款项领导小组要组织开展专题会，压实责任。确保年度内完成集团公司下达的应收款项清欠任务。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责任追究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1.对于采购、提供服务形成的预付款，经办人员未能在规定时间内办理结算且未报送原因说明的，须承担责任，按每笔业务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扣绩效工资100元执行，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次月200元，依次类推。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2.因各种因素形成的长期预付款，期间超过一年，且没有确切结算时间、其实质已丧失收回的可能性，其产生的损失由具体责任部门承担，从绩效考核中扣除，并对责任部门负责人及经办人员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扣绩效工资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第十六条 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办法自印发之日起施行，西北能化财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〔2023〕25号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《应收款项管理办法》同时废止。</w:t>
      </w:r>
    </w:p>
    <w:p>
      <w:pPr>
        <w:pStyle w:val="4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E1734"/>
    <w:rsid w:val="382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next w:val="6"/>
    <w:qFormat/>
    <w:uiPriority w:val="0"/>
    <w:pPr>
      <w:spacing w:before="0" w:after="120" w:line="240" w:lineRule="auto"/>
      <w:ind w:left="420" w:leftChars="200" w:firstLine="420" w:firstLineChars="20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5">
    <w:name w:val="BodyTextIndent"/>
    <w:basedOn w:val="1"/>
    <w:next w:val="1"/>
    <w:qFormat/>
    <w:uiPriority w:val="0"/>
    <w:pPr>
      <w:spacing w:before="60" w:line="460" w:lineRule="exact"/>
      <w:ind w:firstLine="540" w:firstLineChars="200"/>
      <w:jc w:val="both"/>
      <w:textAlignment w:val="baseline"/>
    </w:pPr>
    <w:rPr>
      <w:kern w:val="2"/>
      <w:sz w:val="27"/>
      <w:szCs w:val="24"/>
      <w:lang w:val="en-US" w:eastAsia="zh-CN" w:bidi="ar-SA"/>
    </w:rPr>
  </w:style>
  <w:style w:type="paragraph" w:customStyle="1" w:styleId="6">
    <w:name w:val="BodyText1I"/>
    <w:basedOn w:val="7"/>
    <w:next w:val="1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7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2024-01-18T02:47:00Z</dcterms:created>
  <dc:creator>烟花陨落ベ半城烟沙</dc:creator>
  <cp:lastModifiedBy>烟花陨落ベ半城烟沙</cp:lastModifiedBy>
  <dcterms:modified xsi:type="dcterms:W3CDTF">2024-01-18T03:39:13Z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