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val="en-US" w:eastAsia="zh-CN"/>
        </w:rPr>
      </w:pPr>
    </w:p>
    <w:p>
      <w:pPr>
        <w:jc w:val="center"/>
        <w:rPr>
          <w:rFonts w:hint="eastAsia" w:ascii="黑体" w:eastAsia="黑体"/>
          <w:sz w:val="44"/>
          <w:szCs w:val="44"/>
          <w:lang w:val="en-US" w:eastAsia="zh-CN"/>
        </w:rPr>
      </w:pPr>
    </w:p>
    <w:p>
      <w:pPr>
        <w:jc w:val="center"/>
        <w:rPr>
          <w:rFonts w:hint="default" w:ascii="黑体" w:eastAsia="黑体"/>
          <w:sz w:val="44"/>
          <w:szCs w:val="44"/>
          <w:lang w:val="en-US" w:eastAsia="zh-CN"/>
        </w:rPr>
      </w:pPr>
      <w:r>
        <w:rPr>
          <w:rFonts w:hint="eastAsia" w:ascii="黑体" w:eastAsia="黑体"/>
          <w:sz w:val="44"/>
          <w:szCs w:val="44"/>
          <w:lang w:val="en-US" w:eastAsia="zh-CN"/>
        </w:rPr>
        <w:t>XX部门XX车间</w:t>
      </w:r>
    </w:p>
    <w:p>
      <w:pPr>
        <w:jc w:val="center"/>
        <w:rPr>
          <w:rFonts w:ascii="黑体" w:eastAsia="黑体"/>
          <w:sz w:val="44"/>
          <w:szCs w:val="44"/>
        </w:rPr>
      </w:pPr>
      <w:r>
        <w:rPr>
          <w:rFonts w:hint="eastAsia" w:ascii="黑体" w:eastAsia="黑体"/>
          <w:sz w:val="44"/>
          <w:szCs w:val="44"/>
        </w:rPr>
        <w:t>法律法规、标准</w:t>
      </w:r>
      <w:r>
        <w:rPr>
          <w:rFonts w:hint="eastAsia" w:ascii="黑体" w:eastAsia="黑体"/>
          <w:sz w:val="44"/>
          <w:szCs w:val="44"/>
          <w:lang w:eastAsia="zh-CN"/>
        </w:rPr>
        <w:t>规范</w:t>
      </w:r>
      <w:r>
        <w:rPr>
          <w:rFonts w:hint="eastAsia" w:ascii="黑体" w:eastAsia="黑体"/>
          <w:sz w:val="44"/>
          <w:szCs w:val="44"/>
        </w:rPr>
        <w:t>符合性评价报告</w:t>
      </w:r>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ind w:firstLine="2240" w:firstLineChars="700"/>
        <w:jc w:val="both"/>
        <w:rPr>
          <w:rFonts w:hint="default" w:ascii="宋体" w:eastAsia="宋体"/>
          <w:sz w:val="32"/>
          <w:szCs w:val="32"/>
          <w:lang w:val="en-US" w:eastAsia="zh-CN"/>
        </w:rPr>
      </w:pPr>
      <w:r>
        <w:rPr>
          <w:rFonts w:hint="eastAsia" w:ascii="宋体"/>
          <w:sz w:val="32"/>
          <w:szCs w:val="32"/>
        </w:rPr>
        <w:t>编制人：</w:t>
      </w:r>
    </w:p>
    <w:p>
      <w:pPr>
        <w:jc w:val="center"/>
        <w:rPr>
          <w:rFonts w:hint="eastAsia" w:ascii="宋体"/>
          <w:sz w:val="32"/>
          <w:szCs w:val="32"/>
        </w:rPr>
      </w:pPr>
    </w:p>
    <w:p>
      <w:pPr>
        <w:ind w:firstLine="2240" w:firstLineChars="700"/>
        <w:jc w:val="both"/>
        <w:rPr>
          <w:rFonts w:hint="eastAsia" w:ascii="宋体"/>
          <w:sz w:val="32"/>
          <w:szCs w:val="32"/>
        </w:rPr>
      </w:pPr>
      <w:r>
        <w:rPr>
          <w:rFonts w:hint="eastAsia" w:ascii="宋体"/>
          <w:sz w:val="32"/>
          <w:szCs w:val="32"/>
        </w:rPr>
        <w:t>审核人：</w:t>
      </w:r>
    </w:p>
    <w:p>
      <w:pPr>
        <w:ind w:firstLine="2880" w:firstLineChars="900"/>
        <w:jc w:val="left"/>
        <w:rPr>
          <w:rFonts w:hint="default" w:ascii="宋体"/>
          <w:sz w:val="32"/>
          <w:szCs w:val="32"/>
          <w:lang w:val="en-US" w:eastAsia="zh-CN"/>
        </w:rPr>
      </w:pPr>
    </w:p>
    <w:p>
      <w:pPr>
        <w:ind w:firstLine="2240" w:firstLineChars="700"/>
        <w:jc w:val="both"/>
        <w:rPr>
          <w:rFonts w:hint="default" w:ascii="宋体" w:eastAsia="宋体"/>
          <w:sz w:val="32"/>
          <w:szCs w:val="32"/>
          <w:lang w:val="en-US" w:eastAsia="zh-CN"/>
        </w:rPr>
      </w:pPr>
      <w:r>
        <w:rPr>
          <w:rFonts w:hint="eastAsia" w:ascii="宋体"/>
          <w:sz w:val="32"/>
          <w:szCs w:val="32"/>
        </w:rPr>
        <w:t>审</w:t>
      </w:r>
      <w:r>
        <w:rPr>
          <w:rFonts w:hint="eastAsia" w:ascii="宋体"/>
          <w:sz w:val="32"/>
          <w:szCs w:val="32"/>
          <w:lang w:val="en-US" w:eastAsia="zh-CN"/>
        </w:rPr>
        <w:t>定</w:t>
      </w:r>
      <w:r>
        <w:rPr>
          <w:rFonts w:hint="eastAsia" w:ascii="宋体"/>
          <w:sz w:val="32"/>
          <w:szCs w:val="32"/>
        </w:rPr>
        <w:t>人：</w:t>
      </w:r>
    </w:p>
    <w:p>
      <w:pPr>
        <w:jc w:val="both"/>
        <w:rPr>
          <w:rFonts w:hint="eastAsia" w:ascii="宋体"/>
          <w:sz w:val="32"/>
          <w:szCs w:val="32"/>
        </w:rPr>
      </w:pPr>
    </w:p>
    <w:p>
      <w:pPr>
        <w:ind w:firstLine="2240" w:firstLineChars="700"/>
        <w:jc w:val="both"/>
        <w:rPr>
          <w:rFonts w:ascii="宋体"/>
          <w:sz w:val="32"/>
          <w:szCs w:val="32"/>
        </w:rPr>
      </w:pPr>
      <w:r>
        <w:rPr>
          <w:rFonts w:hint="eastAsia" w:ascii="宋体"/>
          <w:sz w:val="32"/>
          <w:szCs w:val="32"/>
        </w:rPr>
        <w:t>批准人：</w:t>
      </w:r>
    </w:p>
    <w:p>
      <w:pPr>
        <w:bidi w:val="0"/>
        <w:rPr>
          <w:lang w:val="en-US" w:eastAsia="zh-CN"/>
        </w:rPr>
      </w:pPr>
    </w:p>
    <w:p>
      <w:pPr>
        <w:tabs>
          <w:tab w:val="left" w:pos="3528"/>
        </w:tabs>
        <w:bidi w:val="0"/>
        <w:jc w:val="left"/>
        <w:rPr>
          <w:b/>
          <w:bCs/>
          <w:lang w:val="en-US" w:eastAsia="zh-CN"/>
        </w:rPr>
      </w:pPr>
    </w:p>
    <w:p>
      <w:pPr>
        <w:tabs>
          <w:tab w:val="left" w:pos="3528"/>
        </w:tabs>
        <w:bidi w:val="0"/>
        <w:jc w:val="left"/>
        <w:rPr>
          <w:b/>
          <w:bCs/>
          <w:lang w:val="en-US" w:eastAsia="zh-CN"/>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jc w:val="both"/>
        <w:rPr>
          <w:sz w:val="36"/>
          <w:szCs w:val="40"/>
          <w:lang w:val="en-US" w:eastAsia="zh-CN"/>
        </w:rPr>
      </w:pPr>
    </w:p>
    <w:p>
      <w:pPr>
        <w:tabs>
          <w:tab w:val="left" w:pos="3578"/>
        </w:tabs>
        <w:bidi w:val="0"/>
        <w:jc w:val="center"/>
        <w:rPr>
          <w:rFonts w:hint="eastAsia"/>
          <w:sz w:val="36"/>
          <w:szCs w:val="40"/>
          <w:lang w:val="en-US" w:eastAsia="zh-CN"/>
        </w:rPr>
      </w:pPr>
      <w:r>
        <w:rPr>
          <w:rFonts w:hint="eastAsia"/>
          <w:sz w:val="36"/>
          <w:szCs w:val="40"/>
          <w:lang w:val="en-US" w:eastAsia="zh-CN"/>
        </w:rPr>
        <w:t>2023年   月   日</w:t>
      </w:r>
    </w:p>
    <w:p>
      <w:pPr>
        <w:tabs>
          <w:tab w:val="left" w:pos="3578"/>
        </w:tabs>
        <w:bidi w:val="0"/>
        <w:jc w:val="center"/>
        <w:rPr>
          <w:rFonts w:hint="eastAsia"/>
          <w:sz w:val="36"/>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bCs/>
          <w:sz w:val="32"/>
          <w:szCs w:val="32"/>
          <w:lang w:val="en-US" w:eastAsia="zh-CN"/>
        </w:rPr>
      </w:pPr>
      <w:bookmarkStart w:id="0" w:name="_GoBack"/>
      <w:bookmarkEnd w:id="0"/>
      <w:r>
        <w:rPr>
          <w:rFonts w:hint="eastAsia" w:asciiTheme="minorEastAsia" w:hAnsiTheme="minorEastAsia" w:eastAsiaTheme="minorEastAsia" w:cstheme="minorEastAsia"/>
          <w:b/>
          <w:bCs/>
          <w:sz w:val="32"/>
          <w:szCs w:val="32"/>
          <w:lang w:val="en-US" w:eastAsia="zh-CN"/>
        </w:rPr>
        <w:t>评价目的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为保证法律法规、标准的有效贯彻，公司收集识别并获取与安全生产活动有关的法律、法规、标准和其他要求法，对各适用条款进行识别和符合性评审，查找日常作业和管理过程中不符合法律法规要求的地方，制定具体的整改措施，规范从业人员安全行为，消除违规现象，实现本质安全的目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评价范围及依据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与公司安全生产活动有关的法律法规、标准规范和其他要求。（详见法律法规、标准清单）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评价小组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lang w:val="en-US" w:eastAsia="zh-CN"/>
        </w:rPr>
        <w:t>组  长：</w:t>
      </w:r>
      <w:r>
        <w:rPr>
          <w:rFonts w:hint="eastAsia" w:asciiTheme="minorEastAsia" w:hAnsiTheme="minorEastAsia" w:eastAsiaTheme="minorEastAsia" w:cstheme="minorEastAsia"/>
          <w:b w:val="0"/>
          <w:bCs w:val="0"/>
          <w:sz w:val="28"/>
          <w:szCs w:val="28"/>
          <w:highlight w:val="yellow"/>
          <w:lang w:val="en-US" w:eastAsia="zh-CN"/>
        </w:rPr>
        <w:t>颛孙祖田、陈方林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副组长：</w:t>
      </w:r>
      <w:r>
        <w:rPr>
          <w:rFonts w:hint="eastAsia" w:asciiTheme="minorEastAsia" w:hAnsiTheme="minorEastAsia" w:eastAsiaTheme="minorEastAsia" w:cstheme="minorEastAsia"/>
          <w:b w:val="0"/>
          <w:bCs w:val="0"/>
          <w:sz w:val="28"/>
          <w:szCs w:val="28"/>
          <w:highlight w:val="yellow"/>
          <w:lang w:val="en-US" w:eastAsia="zh-CN"/>
        </w:rPr>
        <w:t>陈争峰、许令奇、郭  勇、张荣江、陈方悟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成  员：</w:t>
      </w:r>
      <w:r>
        <w:rPr>
          <w:rFonts w:hint="eastAsia" w:asciiTheme="minorEastAsia" w:hAnsiTheme="minorEastAsia" w:eastAsiaTheme="minorEastAsia" w:cstheme="minorEastAsia"/>
          <w:b w:val="0"/>
          <w:bCs w:val="0"/>
          <w:sz w:val="28"/>
          <w:szCs w:val="28"/>
          <w:highlight w:val="yellow"/>
          <w:lang w:val="en-US" w:eastAsia="zh-CN"/>
        </w:rPr>
        <w:t>各单位负责人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四、工作程序</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1.首先由各部门负责组织收集识别各部门适用的法律法规、标准及其他要求。</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2.安全监管部组织各部门对识别的法律法规、标准及其他要求结合各部门实际工作情况进行符合性评审。</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3.安全监管部对各部门识别的法律法规、标准清单和符合性评审结果进行综合整理，总结出公司适用的法律法规、标准清单和符合性评审结果并在安全例会上进行汇报，经评价小组讨论后形成最终版，符合性评价报告由公司执行董事进行审批。</w:t>
      </w:r>
    </w:p>
    <w:p>
      <w:pPr>
        <w:tabs>
          <w:tab w:val="left" w:pos="3578"/>
        </w:tabs>
        <w:bidi w:val="0"/>
        <w:ind w:left="321" w:hanging="321" w:hangingChars="1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bCs/>
          <w:sz w:val="32"/>
          <w:szCs w:val="32"/>
          <w:lang w:val="en-US" w:eastAsia="zh-CN"/>
        </w:rPr>
        <w:t>五、评价结论</w:t>
      </w:r>
      <w:r>
        <w:rPr>
          <w:rFonts w:hint="eastAsia" w:asciiTheme="minorEastAsia" w:hAnsiTheme="minorEastAsia" w:eastAsiaTheme="minorEastAsia" w:cstheme="minorEastAsia"/>
          <w:b w:val="0"/>
          <w:bCs w:val="0"/>
          <w:sz w:val="28"/>
          <w:szCs w:val="28"/>
          <w:lang w:val="en-US" w:eastAsia="zh-CN"/>
        </w:rPr>
        <w:br w:type="textWrapping"/>
      </w:r>
      <w:r>
        <w:rPr>
          <w:rFonts w:hint="eastAsia" w:asciiTheme="minorEastAsia" w:hAnsiTheme="minorEastAsia" w:eastAsiaTheme="minorEastAsia" w:cstheme="minorEastAsia"/>
          <w:b w:val="0"/>
          <w:bCs w:val="0"/>
          <w:sz w:val="28"/>
          <w:szCs w:val="28"/>
          <w:highlight w:val="yellow"/>
          <w:lang w:val="en-US" w:eastAsia="zh-CN"/>
        </w:rPr>
        <w:t xml:space="preserve"> 1.通过评价组辨识，2022年新增《中华人民共和国行政处罚法》、《企业安全生产费用提取和使用管理办法》、《化工企业工艺安全管理实施导则》、《国家安全监管总局关于加强化工企业泄漏管理的指导意见》、《内蒙古自治区安全生产条例》、《国家安全监管总局关于进一步加强化学品罐区安全管理的通知》、《风险管理指南》、《内蒙古自治区特种设备安全监察条例》、《坠落防护 安全带》18部法规、标准。现有195部法律法规、标准与公司安全生产管理活动相关，并对其中的适用条款进行了评价。本次评价出的相关法律法规及标准文件全部都是现行有效的，其涉及的内容，基本覆盖到公司安全管理的各个方面。</w:t>
      </w:r>
    </w:p>
    <w:p>
      <w:pPr>
        <w:tabs>
          <w:tab w:val="left" w:pos="3578"/>
        </w:tabs>
        <w:bidi w:val="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2.通过评价，公司整体遵守执行情况如下：</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1）安全生产资质方面：适用的法律法规有《中华人民共和国安全生产法》、《职业病防治法》、《危险化学品安全管理条例》、《安全生产许可证条例》等，公司成立了安全管理机构，按比例要求配备了专职安全管理人员，明确了各级安全职责，不断建立健全安全管理规章制度，确保公司依法、合法安全生产。</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2）职业安全健康管理方面：适用法律法规及标准有《职业病防治法》、《工伤保险条例》、《职业病危害项目申报办法》、《职业健康监护技术规范》、《工作场所职业病危害警示标识》等，公司成立了职业卫生管理机构，配备了专职管理人员，明确了各级职责，建立健全了各项管理制度，制定了应急预案；按要求进行职业危害因素日常检测和年度检测，按时完成申报工作；每年编制职业病防治计划和实施方案，有效治理检测结果超出国家标准的不合格项目；定期为员工配置或更换劳动防护用品，并督促其正确佩戴和使用；为每个员工建立了职业健康档案，每年进行职业健康体检，认真执行岗前、岗中和离岗体检等。</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3）危化品管理方面：适用法律法规有《危险化学品安全管理条例》、《易制毒化学品管理条例》、《危险化学品建设项目安全监督管理办法》《化学品安全技术说明书内容和项目顺序》等，公司通过制定制度，对危化品生产、储存、采购、使用、运输等环节规范管理，按标准要求编制了“一书一签”，并加强了日常检查，特别是对易制毒、易制爆危化品进行了严格管理。</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4）特种设备管理方面：适用法律法规及标准有《特种设备安全监察条例》、《特种设备安全法》、《固定式压力容器安全监察规程》、《特种设备使用管理规则》等，公司严格按照以上要求从设计、安装、改造、使用、检维修等环节强化管理，完善特种设备安全技术档案，所有特种设备均在质监部门登记备案；公司组织人员定期对特种设备进行检测检验，加强日常的检查和维护，特别是对安全附件、保护装置的检查，及时处理存在的隐患，所有特种设备作业人员均持证上岗。</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5）应急及重大危险源管理方面：适用法律法规及标准有《突发事件应对法》、《生产安全事故报告和调查处理条例》、《生产安全事故信息报告和处置办法》、《危险化学品重大危险源监督管理暂行规定》、《危险化学品企业重大危险源安全包保责任制办法（试行）的通知》、《生产安全事故应急预案管理办法》、《危险化学品重大危险源安全监控通用技术规范》、《危险化学品重大危险源罐区现场安全监控装备设置规范》、《危险化学品重大危险源辨识》、《生产经营单位生产安全事故应急预案编制导则》、《危险化学品单位应急救援物资配备要求》、《生产安全事故应急演练指南》、《生产安全事故应急演练评估规范》等，公司成立了应急管理机构，制定了《生产安全事故应急预案》，配备了应急管理人员，组建了救援队伍，购置了必要的应急物资，开展各级隐患排查，有效防止事故发生；公司定期对各类作业活动、设备设施情况等进行全过程风险辨识分级，通过管理、技术等手段确保各级安全风险均在可控范围内。</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6）其他安全管理方面包括新改扩建项目、隐患排查治理、人员培训教育、安全标准化建设、特殊作业、安全设施、安全费用等：适用的法律法规及标准有《危险化学品企业安全风险隐患排查治理导则》、《危险化学品建设项目安全监督管理办法》、《建设项目安全设施“三同时”监督管理办法》、《生产经营单位安全培训规定》、《建设项目职业病防护设施“三同时”监督管理办法》、《化工企业工艺安全管理实施导则》、《企业安全生产费用提取和使用管理办法》、《化工和危险化学品生产经营单位重大生产安全事故隐患判定标准(试行）》、《危险化学品企业特殊作业安全规范》等，公司在日常安全管理中，持续完善安全风险分级管控和隐患排查治理双重预防机制，定期进行风险分析研判和各类安全隐患检查，建立完整安全风险分级管控记录和隐患排查治理台账，严格审批动火、受限空间、抽堵盲板、登高等特殊作业，强化责任和安全措施的落实，有效控制了事故的发生；加强承包商管理，将外委单位纳入公司统一管理，规范了厂内人员的安全行为；建立安全费用专户，按要求比例提取专项费用，严格审查使用情况，对安全设施进行了分类统计，安排专人定期进行检查维护、校验检测，并在不断加大投入，补充完善，确保本质安全；公司结合实际情况，在三级安全生产标准化达标基础上努力推进二级安全生产标准化建设，规范安全管理各方面工作，有效提升公司安全水平，促进安全生产。</w:t>
      </w:r>
    </w:p>
    <w:p>
      <w:pPr>
        <w:tabs>
          <w:tab w:val="left" w:pos="3578"/>
        </w:tabs>
        <w:bidi w:val="0"/>
        <w:ind w:firstLine="560" w:firstLineChars="200"/>
        <w:jc w:val="left"/>
        <w:rPr>
          <w:rFonts w:hint="eastAsia"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highlight w:val="yellow"/>
          <w:lang w:val="en-US" w:eastAsia="zh-CN"/>
        </w:rPr>
        <w:t>3.通过对照适用法律法规及相关要求条款的评价，公司整体符合性程度较高，通过辨识，发现有两项不符合规范要求，已经整改完毕，现已全部符合法规要求。</w:t>
      </w:r>
    </w:p>
    <w:p>
      <w:pPr>
        <w:tabs>
          <w:tab w:val="left" w:pos="3578"/>
        </w:tabs>
        <w:bidi w:val="0"/>
        <w:jc w:val="lef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七、附件</w:t>
      </w:r>
    </w:p>
    <w:p>
      <w:pPr>
        <w:tabs>
          <w:tab w:val="left" w:pos="3578"/>
        </w:tabs>
        <w:bidi w:val="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附件一、法律法规、标准规范清单</w:t>
      </w:r>
    </w:p>
    <w:p>
      <w:pPr>
        <w:tabs>
          <w:tab w:val="left" w:pos="3578"/>
        </w:tabs>
        <w:bidi w:val="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附件二、法律法规、标准规范符合性评价</w:t>
      </w:r>
    </w:p>
    <w:p>
      <w:pPr>
        <w:tabs>
          <w:tab w:val="left" w:pos="3578"/>
        </w:tabs>
        <w:bidi w:val="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附件三：法律法规、标准规范不符合项清单（</w:t>
      </w:r>
      <w:r>
        <w:rPr>
          <w:rFonts w:hint="eastAsia" w:asciiTheme="minorEastAsia" w:hAnsiTheme="minorEastAsia" w:eastAsiaTheme="minorEastAsia" w:cstheme="minorEastAsia"/>
          <w:b w:val="0"/>
          <w:bCs w:val="0"/>
          <w:sz w:val="28"/>
          <w:szCs w:val="28"/>
          <w:highlight w:val="yellow"/>
          <w:lang w:val="en-US" w:eastAsia="zh-CN"/>
        </w:rPr>
        <w:t>五定表和整改资料即可</w:t>
      </w:r>
      <w:r>
        <w:rPr>
          <w:rFonts w:hint="eastAsia" w:asciiTheme="minorEastAsia" w:hAnsiTheme="minorEastAsia" w:eastAsiaTheme="minorEastAsia" w:cstheme="minorEastAsia"/>
          <w:b w:val="0"/>
          <w:bCs w:val="0"/>
          <w:sz w:val="28"/>
          <w:szCs w:val="28"/>
          <w:lang w:val="en-US" w:eastAsia="zh-CN"/>
        </w:rPr>
        <w:t>）</w:t>
      </w:r>
    </w:p>
    <w:p>
      <w:pPr>
        <w:tabs>
          <w:tab w:val="left" w:pos="3578"/>
        </w:tabs>
        <w:bidi w:val="0"/>
        <w:jc w:val="left"/>
        <w:rPr>
          <w:rFonts w:hint="eastAsia" w:asciiTheme="minorEastAsia" w:hAnsiTheme="minorEastAsia" w:eastAsiaTheme="minorEastAsia" w:cstheme="minorEastAsia"/>
          <w:b w:val="0"/>
          <w:bCs w:val="0"/>
          <w:sz w:val="28"/>
          <w:szCs w:val="28"/>
          <w:lang w:val="en-US" w:eastAsia="zh-CN"/>
        </w:rPr>
      </w:pPr>
    </w:p>
    <w:p>
      <w:pPr>
        <w:tabs>
          <w:tab w:val="left" w:pos="3578"/>
        </w:tabs>
        <w:bidi w:val="0"/>
        <w:jc w:val="left"/>
        <w:rPr>
          <w:rFonts w:hint="eastAsia" w:asciiTheme="minorEastAsia" w:hAnsiTheme="minorEastAsia" w:eastAsiaTheme="minorEastAsia" w:cstheme="minorEastAsia"/>
          <w:b w:val="0"/>
          <w:bCs w:val="0"/>
          <w:sz w:val="28"/>
          <w:szCs w:val="28"/>
          <w:lang w:val="en-US" w:eastAsia="zh-CN"/>
        </w:rPr>
      </w:pPr>
    </w:p>
    <w:p>
      <w:pPr>
        <w:tabs>
          <w:tab w:val="left" w:pos="3578"/>
        </w:tabs>
        <w:bidi w:val="0"/>
        <w:jc w:val="cente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w:t>
      </w:r>
      <w:r>
        <w:rPr>
          <w:rFonts w:hint="eastAsia" w:asciiTheme="minorEastAsia" w:hAnsiTheme="minorEastAsia" w:eastAsiaTheme="minorEastAsia" w:cstheme="minorEastAsia"/>
          <w:b w:val="0"/>
          <w:bCs w:val="0"/>
          <w:sz w:val="28"/>
          <w:szCs w:val="28"/>
          <w:highlight w:val="yellow"/>
          <w:lang w:val="en-US" w:eastAsia="zh-CN"/>
        </w:rPr>
        <w:t>XX部门XX车间</w:t>
      </w:r>
      <w:r>
        <w:rPr>
          <w:rFonts w:hint="eastAsia" w:asciiTheme="minorEastAsia" w:hAnsiTheme="minorEastAsia" w:eastAsiaTheme="minorEastAsia" w:cstheme="minorEastAsia"/>
          <w:b w:val="0"/>
          <w:bCs w:val="0"/>
          <w:sz w:val="28"/>
          <w:szCs w:val="28"/>
          <w:lang w:val="en-US" w:eastAsia="zh-CN"/>
        </w:rPr>
        <w:t xml:space="preserve">             </w:t>
      </w:r>
    </w:p>
    <w:p>
      <w:pPr>
        <w:tabs>
          <w:tab w:val="left" w:pos="3578"/>
        </w:tabs>
        <w:bidi w:val="0"/>
        <w:jc w:val="cente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2023年   月   日</w:t>
      </w:r>
    </w:p>
    <w:p>
      <w:pPr>
        <w:rPr>
          <w:rFonts w:hint="eastAsia" w:asciiTheme="minorEastAsia" w:hAnsiTheme="minorEastAsia" w:eastAsiaTheme="minorEastAsia" w:cstheme="minorEastAsia"/>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rFonts w:hint="eastAsia" w:eastAsia="宋体"/>
        <w:lang w:eastAsia="zh-CN"/>
      </w:rPr>
      <w:drawing>
        <wp:inline distT="0" distB="0" distL="114300" distR="114300">
          <wp:extent cx="756285" cy="567055"/>
          <wp:effectExtent l="0" t="0" r="5715" b="4445"/>
          <wp:docPr id="1" name="图片 1" descr="C:\Users\Administrator.USER-20180110DZ\Desktop\timg (1).jpg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USER-20180110DZ\Desktop\timg (1).jpgtimg (1)"/>
                  <pic:cNvPicPr>
                    <a:picLocks noChangeAspect="1"/>
                  </pic:cNvPicPr>
                </pic:nvPicPr>
                <pic:blipFill>
                  <a:blip r:embed="rId1"/>
                  <a:srcRect/>
                  <a:stretch>
                    <a:fillRect/>
                  </a:stretch>
                </pic:blipFill>
                <pic:spPr>
                  <a:xfrm>
                    <a:off x="0" y="0"/>
                    <a:ext cx="756285" cy="567055"/>
                  </a:xfrm>
                  <a:prstGeom prst="rect">
                    <a:avLst/>
                  </a:prstGeom>
                </pic:spPr>
              </pic:pic>
            </a:graphicData>
          </a:graphic>
        </wp:inline>
      </w:drawing>
    </w:r>
    <w:r>
      <w:rPr>
        <w:rFonts w:hint="eastAsia" w:eastAsia="宋体"/>
        <w:lang w:eastAsia="zh-CN"/>
      </w:rPr>
      <w:t xml:space="preserve">鄂尔多斯市西北能源化工有限责任公司  </w:t>
    </w:r>
    <w:r>
      <w:rPr>
        <w:rFonts w:hint="eastAsia" w:eastAsia="宋体"/>
        <w:lang w:eastAsia="zh-CN"/>
      </w:rPr>
      <w:tab/>
    </w:r>
    <w:r>
      <w:rPr>
        <w:rFonts w:hint="eastAsia" w:eastAsia="宋体"/>
        <w:lang w:val="en-US" w:eastAsia="zh-CN"/>
      </w:rPr>
      <w:t xml:space="preserve">         </w:t>
    </w:r>
    <w:r>
      <w:rPr>
        <w:rFonts w:hint="eastAsia"/>
        <w:lang w:val="en-US" w:eastAsia="zh-CN"/>
      </w:rPr>
      <w:t>法律法规、标准规范符合性评价报告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009EE"/>
    <w:multiLevelType w:val="singleLevel"/>
    <w:tmpl w:val="19000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hjYWM1YTYxNzk2ZWViMjQyYTkzZTg4MDRhYzYifQ=="/>
    <w:docVar w:name="KSO_WPS_MARK_KEY" w:val="1b314cd5-bc1c-4146-841d-e65b203aadcd"/>
  </w:docVars>
  <w:rsids>
    <w:rsidRoot w:val="6CF623A7"/>
    <w:rsid w:val="0D536575"/>
    <w:rsid w:val="14505291"/>
    <w:rsid w:val="23F83D03"/>
    <w:rsid w:val="348F6779"/>
    <w:rsid w:val="494A2D73"/>
    <w:rsid w:val="50045AFA"/>
    <w:rsid w:val="52785D13"/>
    <w:rsid w:val="58010F47"/>
    <w:rsid w:val="5D367DB9"/>
    <w:rsid w:val="6CF623A7"/>
    <w:rsid w:val="6FDE7692"/>
    <w:rsid w:val="734A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2726</Words>
  <Characters>2751</Characters>
  <Lines>0</Lines>
  <Paragraphs>0</Paragraphs>
  <TotalTime>80</TotalTime>
  <ScaleCrop>false</ScaleCrop>
  <LinksUpToDate>false</LinksUpToDate>
  <CharactersWithSpaces>2793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2021-12-01T00:58:00Z</dcterms:created>
  <dc:creator>一切婷好</dc:creator>
  <cp:lastModifiedBy>一切婷好</cp:lastModifiedBy>
  <cp:lastPrinted>2021-12-05T08:23:00Z</cp:lastPrinted>
  <dcterms:modified xsi:type="dcterms:W3CDTF">2023-08-11T02:09:07Z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CC87DEF46FAC4327A6C90B8F77A73F89</vt:lpwstr>
  </property>
</Properties>
</file>