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各部门主要职责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公司各部门依据主要工作职责，结合合规管理提升行动工作任务清单，及时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季（年）度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工作任务进展情况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（一）综合部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整理党委、董事会、经理层、合规委员会，治理机构和最高管理层的纲领性文件、合规方针、合规目标、合规文化、合规治理、分配职责权限、评审合规管理体系、及时采取纠正措施等合规管理。自查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起草合规管理计划、基本制度和具体制度、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资料保密、信息督办、</w:t>
      </w:r>
      <w:r>
        <w:rPr>
          <w:rFonts w:hint="eastAsia" w:eastAsia="仿宋_GB2312"/>
          <w:sz w:val="32"/>
          <w:szCs w:val="32"/>
        </w:rPr>
        <w:t>舆情管控、信访保密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规定、外包服务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等方面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是否存在风险。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应当采取的措施以及防范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（二）销售采购部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根据市场行情研判风险；物资采购、产品销售（含副产品）合同风险；市场调研、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产品质量、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货物结算；应急采购预案等方面；应当采取的措施以及防范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规划与配置，员工入职培训、技能技术提升培训、劳动合同、薪酬、社保福利、职工档案、职称评聘、考勤休假、内外部劳动力市场管理；公司奖惩和激励措施；岗位、职责和权限、员工资质能力等方面是否存在风险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应当采取的措施以及防范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是否建立监督、执纪、问责、举报机制、调查过程、处置等方面；应当采取的措施以及防范的风险制度、标准。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（五）经管物资部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工程管理、招标、仓库物资验收、仓库物资发放、仓储安全管理等方面是否存在风险；应当采取的措施以及防范的风险制度、标准。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（六）财务部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</w:rPr>
        <w:t>全面预算、财务分析、统计分析、会计核算、税费统筹、融资管理等工作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是否存在风险；应当采取的措施以及防范的风险制度、标准。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（七）调度中心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</w:rPr>
        <w:t>协调安全生产，组织实施应急预案演练，落实开停车方案，调查追究影响生产的各类事故事件，仲裁生产纠纷，统计分析影响生产因素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</w:rPr>
        <w:t>检测分析原材料、半成品、产成品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</w:rPr>
        <w:t>司磅灌装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安全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员工培训和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资质能力，内部职责、权限、分配等方面</w:t>
      </w:r>
      <w:r>
        <w:rPr>
          <w:rFonts w:hint="eastAsia" w:eastAsia="仿宋_GB2312" w:cs="Times New Roman"/>
          <w:sz w:val="32"/>
          <w:szCs w:val="32"/>
        </w:rPr>
        <w:t>等工作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是否存在风险；应当采取的措施以及防范的风险制度、标准。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（八）安全监管部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</w:rPr>
        <w:t>调查分析安全事故事件、追究安全事故责任，监管厂区消防安全，组织编制应急预案演练，组织安全生产和消防教育培训，职业卫生健康、劳动保护、工伤、特殊作业人员培训取证、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环保、固（危）废、</w:t>
      </w:r>
      <w:r>
        <w:rPr>
          <w:rFonts w:hint="eastAsia" w:eastAsia="仿宋_GB2312" w:cs="Times New Roman"/>
          <w:sz w:val="32"/>
          <w:szCs w:val="32"/>
        </w:rPr>
        <w:t>特殊作业票证管理等工作。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员工培训和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资质能力，内部职责、权限、分配等方面</w:t>
      </w:r>
      <w:r>
        <w:rPr>
          <w:rFonts w:hint="eastAsia" w:eastAsia="仿宋_GB2312" w:cs="Times New Roman"/>
          <w:sz w:val="32"/>
          <w:szCs w:val="32"/>
        </w:rPr>
        <w:t>等工作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是否存在风险；应当采取的措施以及防范的风险制度、标准。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（九）设备部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设备巡检、检修，生产装备运行监控、分析，修旧利废、各种设备维修费用预测及统计；设备更新升级、备品备件管理、外部维保检修队伍监管及服务、市场调研、产品服务、合同签订；合规的风险预测。员工培训和资质能力，内部职责、权限、分配等方面等工作是否存在风险；应当采取的措施以及防范的风险制度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（十）生产技术部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eastAsia="仿宋_GB2312"/>
          <w:sz w:val="32"/>
          <w:szCs w:val="32"/>
        </w:rPr>
        <w:t>安全生产，技术改造、工艺指标的标定、参数优化、生产成本费用消耗统计及管理、</w:t>
      </w:r>
      <w:r>
        <w:rPr>
          <w:rFonts w:hint="eastAsia" w:eastAsia="仿宋_GB2312"/>
          <w:sz w:val="32"/>
          <w:szCs w:val="32"/>
          <w:lang w:val="en-US" w:eastAsia="zh-CN"/>
        </w:rPr>
        <w:t>外围队伍监管、合同签订</w:t>
      </w:r>
      <w:r>
        <w:rPr>
          <w:rFonts w:hint="eastAsia" w:eastAsia="仿宋_GB2312"/>
          <w:sz w:val="32"/>
          <w:szCs w:val="32"/>
        </w:rPr>
        <w:t>等工作</w:t>
      </w:r>
      <w:r>
        <w:rPr>
          <w:rFonts w:hint="eastAsia" w:eastAsia="仿宋_GB2312"/>
          <w:sz w:val="32"/>
          <w:szCs w:val="32"/>
          <w:lang w:val="en-US" w:eastAsia="zh-CN"/>
        </w:rPr>
        <w:t>是否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合规的风险预测。员工培训和资质能力，内部职责、权限、分配等方面等工作是否存在风险；应当采取的措施以及防范的风险制度、标准。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附件2: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合规管理职能部门（机构）及人员情况表</w:t>
      </w:r>
    </w:p>
    <w:tbl>
      <w:tblPr>
        <w:tblStyle w:val="6"/>
        <w:tblW w:w="8851" w:type="dxa"/>
        <w:tblInd w:w="-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004"/>
        <w:gridCol w:w="1281"/>
        <w:gridCol w:w="1341"/>
        <w:gridCol w:w="1416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颛孙祖田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党委书记/董事长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13956875897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许令奇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党委副书记/总经理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13013052255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合规管理办公室负责人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13855447000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合规管理业务审核负责人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13955443010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合规管理业务审核负责人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陈争锋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13035001879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合规管理业务审核负责人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15835749191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合规管理业务审核负责人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13955458226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合规监督管理负责人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合规监督管理人员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霍爱会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纪委副书记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13956482069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副总经济师兼部长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经管物资部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13966154366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合规管理联络员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  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经管物资部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15148416123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0477-2274677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18655487653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0477-2274801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15134861572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方仁付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采购销售部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13855426070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0477-2274999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13855447000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18047959912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曹绪宏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13955457169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0477-2274786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13965876018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部门合规管理人员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17775068800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西北能化公司目前没有设立法务部门，同时也没外聘法律顾问，建议集团委派首席合规官。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附件3：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合规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委员会组织</w:t>
      </w:r>
      <w:r>
        <w:rPr>
          <w:rFonts w:hint="eastAsia" w:ascii="黑体" w:hAnsi="黑体" w:eastAsia="黑体" w:cs="Times New Roman"/>
          <w:sz w:val="32"/>
          <w:szCs w:val="32"/>
        </w:rPr>
        <w:t>机构及人员情况表</w:t>
      </w:r>
    </w:p>
    <w:tbl>
      <w:tblPr>
        <w:tblStyle w:val="6"/>
        <w:tblW w:w="8747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145"/>
        <w:gridCol w:w="1281"/>
        <w:gridCol w:w="1341"/>
        <w:gridCol w:w="1416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颛孙祖田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党委书记/董事长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13956875897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许令奇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党委副书记/总经理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13013052255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13955443010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陈争锋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13035001879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15835749191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委员会日常工作人员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0477-2274999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13855447000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13955458226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0477-2274801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15134861572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副总经济师兼部长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经管物资部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13966154366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副总工程师兼部长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0477-2274677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18655487653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霍爱会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纪委副书记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13956482069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方仁付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采购销售部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13855426070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18047959912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曹绪宏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13955457169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0477-2274786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13965876018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0477-2274669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17775068800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合规委员会组成人员出现辞职、免职、退休或其他不宜担任现职务的情形，资格自动终止。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附件4: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 w:bidi="ar"/>
        </w:rPr>
        <w:t>XX（部门名称）“合规管理提升行动”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 w:bidi="ar"/>
        </w:rPr>
        <w:t>工作季报（示例）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X年X月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一、组织推动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1...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2....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二、制度建设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1....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2....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三、运行机制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四、责任体系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五、组织建设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六、合规文化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七、其他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1．自2023年三季度起，每季度最后一个月10日前报送工作任务进展情况（季报告由合规负责人审核后报送）；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2．报送内容无须面面俱到，重点报送重大活动、重大进展或特色亮点工作，文字简言意骇，暂无明显进展的可不填写；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3．工作中如有问题或建议，可一并报送反馈。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 w:bidi="ar"/>
        </w:rPr>
        <w:t>合规管理提升行动工作总结报告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一、重点工作进展情况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（二）制度建设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（三）运行机制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（四）落实责任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（五）组织基础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（六）合规文化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注：主要对照《集团公司合规管理提升行动实施方案》，全面总结企业所采取的措施及成效，尽量提供数字、案例等。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二、经营业务合规风险及违法违规问题排查整改情况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注：重点总结经营业务合规风险及违法违规问题排查整体情况，梳理整改过程中所采取的工作措施及成效.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三、存在的薄弱环节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四、下一步工作考虑及建议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XXXXX（单位）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附件6：</w:t>
      </w:r>
    </w:p>
    <w:p>
      <w:pPr>
        <w:spacing w:line="660" w:lineRule="exact"/>
        <w:jc w:val="center"/>
        <w:rPr>
          <w:rFonts w:hint="eastAsia" w:ascii="宋体" w:hAnsi="宋体" w:eastAsia="宋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  <w:lang w:val="en-US" w:eastAsia="zh-CN"/>
        </w:rPr>
        <w:t>西北能化</w:t>
      </w:r>
      <w:r>
        <w:rPr>
          <w:rFonts w:hint="eastAsia" w:ascii="黑体" w:hAnsi="黑体" w:eastAsia="黑体" w:cs="黑体"/>
          <w:color w:val="000000"/>
          <w:sz w:val="44"/>
        </w:rPr>
        <w:t>公司合规管理提升行动工作任务清单</w:t>
      </w:r>
    </w:p>
    <w:tbl>
      <w:tblPr>
        <w:tblStyle w:val="6"/>
        <w:tblW w:w="133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12"/>
        <w:gridCol w:w="5884"/>
        <w:gridCol w:w="1154"/>
        <w:gridCol w:w="1593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工作举措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一、健全组织体系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．健全合规管理组织体系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企业党委要发挥把方向、管大局、保落实的领导作用，把党的领导贯穿合规管理全过程，全面领导、统筹推进合规管理工作，推动合规要求在本企业得到严格遵循和落实。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明确党委、董事会、经理层、主要负责人、各部门、合规管理部门等部门的合规管理职责，加强统筹协调和协同配合，对合规管理重难点工作一体推进。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．加强合规管理队伍建设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由集团公司招引法律、运营管理等方面人才充实西北能化公司，建立高素质的合规管理队伍。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人力资源部（党群部）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．建立健全合规管理员制度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建立合规管理员及合规联络员制度，明确人员及岗位职责。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月底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二、完善制度体系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．完善合规管理制度体系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完善合规管理的基本制度，明确合规管理总体目标、机构职责、运行机制、重点内容等。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完善董事会各项制度、党委前置研究讨论事项清单及议事规则、“三重一大”决策制度实施办法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完善监督、问责、举报机制、调查、处置等管理制度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．加强风险防范及定期开展制度修订评估清理工作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完善风险管理制度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每年对公司各项管理制度开展评估清理修订工作，保证制度规定合法合规、上下衔接，体系完整有效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三、压实业务层合规管控责任，构建合规管理“三道防线”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6．坚决守住“第一道防线”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编制重点岗位合规职责清单，将合规要求落实到岗、明确到人。及时完善业务制度和管理流程，防范违规风险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．不断筑牢“第二道防线”。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公司的合规管理部门牵头组织各专业开展合规管理体系有效性评价、风险识别、评估等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各部门、合规部门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负责人及相关人员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切实发挥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第三道防线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震慑作用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加强监督部门专项监督检查，加强对重大项目、财务资金、物资采购、招标投标等重点领域的监督检查，对发现的问题及造成损失的按照规定开展问责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四、优化运行体系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8"/>
                <w:lang w:val="en-US" w:eastAsia="zh-CN" w:bidi="ar"/>
              </w:rPr>
              <w:t>．完善合规风险识别及预警机制。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排查近年来屡查屡犯问题合规风险，提出针对性防范措施，出现重大风险及时预警。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．落实合规审查制度。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完善合规审查机制，对规章制度、经济合同、重大决策开展合规审查，及时对不合规的内容提出修改建议，将合规审查全面嵌入各业务管理流程。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各部门、党委会议、经理层会议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．建立完善合规风险应对处置、报告机制。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违规行为引发重大法律纠纷案件、重大行政处罚、刑事案件，或者被国际组织制裁等重大合规风险事件，造成或可能造成企业重大资产损失或者严重不良影响的，及时向本公司主要负责人报告外，必须同时向集团公司报告，相关部门协同配合，及时采取措施妥善应对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发生重大合规风险事件，应及时向集团公司报告，并按要求报告后续处置进展情况。还须同时向集团公司法务部报告。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各部门、合规部门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公司负责人、合规联络员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．建立违规举报机制。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违规举报平台，就举报问题进行调查和处理，对造成资产损失或者严重不良后果的，加强责任追究；对涉嫌违纪违法的，按照规定移交纪检监察等相关部门或者机构。对举报人的身份和举报事项严格保密，对举报属实的举报人可以给予适当奖励，不得以任何形式对举报人进行打击报复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．强化违规问责机制。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加大违规问题线索查处力度，及时认真组织调查核实，认定损失标准，依规严肃追究相关人员责任。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霍爱会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五、抓好合规文化建设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．加大合规培训力度。</w:t>
            </w:r>
          </w:p>
        </w:tc>
        <w:tc>
          <w:tcPr>
            <w:tcW w:w="5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把深入学习习近平法治思想、强化合规经营理念作为企业党委理论学习中心组集体学习、管理人员集中培训主要内容，全年专题学习不少于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次。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人力资源部（党群部）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副科级以上管理人员、重要风险岗位人员签订合规承诺书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月底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各部门、经管部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．强化合规宣传培训，不断增强合规意识。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建立常态化合规培训机制，公司每年至少开展1次合规培训，对重点高风险岗位人员组织开展相关制度及业务合规培训，努力提高全体员工的合规意识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六、合规管理保障及总结提升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．及时报送合规管理实施方案及相关报告。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日前将合规管理提升行动实施方案报送到集团公司。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2023年8月10日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公司各部门每季度最后一个月10日前向经管部报送工作进展情况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西北能化自2023年三季度起，每季度最后一个月20日前向集团公司报送合规管理提升行动进展情况。（季报告由企业合规负责人审核后报送）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总结推进合规管理提升行动的成绩及问题，形成专项书面报告报送集团公司法务部。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月底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武云飞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附件7：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lang w:val="en-US" w:eastAsia="zh-CN"/>
        </w:rPr>
        <w:t>重要子企业2023-2025年合规管理考核评价表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（集团公司法务部考核标准）</w:t>
      </w:r>
    </w:p>
    <w:tbl>
      <w:tblPr>
        <w:tblStyle w:val="6"/>
        <w:tblW w:w="12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705"/>
        <w:gridCol w:w="661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考核扣分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建立健全合规管理组织体系。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未建立合规管理组织体系扣10分，合规管理组织不健全扣5分，合规管理人员配备不到位扣5分；最高扣20分。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建立合规管理制度体系。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任一项制度缺失，或制度存在重大缺陷的，每项扣2分，最高扣20分。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落实“三道防线”合规管理责任。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任一项合规管理职责未落实的，每项扣2分，最高扣20分。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完善合规管理运行机制。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应进行合规审查未审查的，或发生重大合规风险的，或未落实合规风险报告及应对处置职责的，或未按要求完成合规整改的，或发现违规问题应追责未追责的，上述情形每出现一次扣2分，最高扣20分。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抓好合规文化建设。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未开展合规培训扣5分，未完成合规培训任务扣2分，未全员签订合规承诺书的扣3分；最高扣10分。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集团公司及本企业要求的其他合规管理工作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任一项未完成的，视情每项扣1-2分，最高扣10分。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要求：考核实行100分制，做减法考核。考核结果与单位（部门）年薪制人员年度绩效薪酬总额挂钩，实行年度考核。考核得分低于100分的，按0-3分进行扣减，扣减分数公式＝〔（100分-实际得分）／100〕x3分。法务部牵头考核并将考核结果报送至集团公司经管部，作为年度经营绩效考核应用的依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417" w:right="1474" w:bottom="141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60E0"/>
    <w:rsid w:val="664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2023-08-04T03:27:00Z</dcterms:created>
  <dc:creator>烟花陨落ベ半城烟沙</dc:creator>
  <cp:lastModifiedBy>烟花陨落ベ半城烟沙</cp:lastModifiedBy>
  <dcterms:modified xsi:type="dcterms:W3CDTF">2023-08-04T03:28:01Z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