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纪委</w:t>
      </w:r>
      <w:r>
        <w:rPr>
          <w:rFonts w:hint="eastAsia" w:ascii="仿宋_GB2312" w:hAnsi="仿宋" w:eastAsia="仿宋_GB2312" w:cs="仿宋"/>
          <w:sz w:val="32"/>
          <w:szCs w:val="32"/>
        </w:rPr>
        <w:t>〔20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关于撤销廉政账户严禁违规收送红包礼金的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通知</w:t>
      </w:r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4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各党（总）支部：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  <w:lang w:val="en-US" w:eastAsia="zh-CN"/>
        </w:rPr>
        <w:t>为杜绝党员干部、管技人员违规收送红包礼金，损害企业利益的行为发生。依据2018年颁布的《中国共产党纪律处分条例》，对收送红包礼金问题的禁止性规定，参照其他省市相关规定，根据公司实际，经研究，作出如下通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4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  <w:lang w:val="en-US" w:eastAsia="zh-CN"/>
        </w:rPr>
        <w:t>一、本通知中所称的红包礼金是指管理服务对象、下属单位和个人，以及其他与行使职权有关系的单位和个人所送的礼金、消费卡、电子红包和有价证券、股权及其他金融产品等财物。收送其他明显超出礼尚往来的财物、名贵特产类特殊资源等按照本通知精神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  <w:lang w:val="en-US" w:eastAsia="zh-CN"/>
        </w:rPr>
        <w:t>二、在行政审批、工程施工验收、选人用人、物资销售采购、招投标管理、财务管理等公务活动中，党员干部、管技人员收受红包礼金的，一律先免职后处理。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  <w:lang w:val="en-US" w:eastAsia="zh-CN"/>
        </w:rPr>
        <w:t>三、在节假日、生日、住院、婚丧喜庆事宜等非公务活动中，党员干部、公职人员收受红包礼金的，一律先免职后处理。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  <w:lang w:val="en-US" w:eastAsia="zh-CN"/>
        </w:rPr>
        <w:t>四、党员干部、公职人员纵容、默许配偶、子女及其配偶等亲属和其他特定关系人收受红包礼金的，追究党员干部、公职人员的责任。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  <w:lang w:val="en-US" w:eastAsia="zh-CN"/>
        </w:rPr>
        <w:t>五、对赠送红包礼金的党员干部、管技人员，一并调查处理。其中用公款赠送的，对相关责任人从重或加重处理。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  <w:lang w:val="en-US" w:eastAsia="zh-CN"/>
        </w:rPr>
        <w:t>六、对收送红包礼金的党员干部、管技人员，按照《中国共产党纪律处分条例》第八十八条、第八十九条等相关规定处理。对索要红包礼金的从重或加重处理，涉嫌职务犯罪的移送司法机关处理。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  <w:lang w:val="en-US" w:eastAsia="zh-CN"/>
        </w:rPr>
        <w:t>七、廉政账户撤销后，因特殊情况未能拒收的红包礼金，按照干部管理权限，党员干部、管技人员应当自收到之日起10个工作日内上交公司纪委，并作出情况说明，由公司纪委、综合部、财务部共同酌情处置。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  <w:lang w:val="en-US" w:eastAsia="zh-CN"/>
        </w:rPr>
        <w:t>八、对已上交廉政账户的红包礼金等，相关部门应于廉政账户撤销之日起10个工作日内上交公司财务。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  <w:lang w:val="en-US" w:eastAsia="zh-CN"/>
        </w:rPr>
        <w:t>本通知从下发之日起开始执行，同时废止西北能化纪委[2018] 7 号《关于设立西北能化公司廉政账户的通知》。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40" w:lineRule="exact"/>
        <w:ind w:right="0" w:rightChars="0" w:firstLine="5120" w:firstLineChars="1600"/>
        <w:jc w:val="both"/>
        <w:textAlignment w:val="auto"/>
        <w:outlineLvl w:val="9"/>
        <w:rPr>
          <w:rFonts w:hint="default" w:ascii="仿宋_GB2312" w:hAnsi="宋体" w:eastAsia="仿宋_GB2312" w:cs="宋体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  <w:lang w:val="en-US" w:eastAsia="zh-CN"/>
        </w:rPr>
        <w:t>西北能化公司纪委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  <w:t xml:space="preserve">      20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sectPr>
          <w:footerReference r:id="rId4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西北能化公司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党群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 xml:space="preserve">部                 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日印发</w:t>
      </w:r>
    </w:p>
    <w:p/>
    <w:sectPr>
      <w:headerReference r:id="rId5" w:type="default"/>
      <w:footerReference r:id="rId6" w:type="default"/>
      <w:pgSz w:w="11906" w:h="16838"/>
      <w:pgMar w:top="1417" w:right="1474" w:bottom="1984" w:left="1587" w:header="851" w:footer="2381" w:gutter="0"/>
      <w:pgNumType w:fmt="numberInDash" w:start="1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F65AB"/>
    <w:rsid w:val="799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2021-08-06T10:53:00Z</dcterms:created>
  <dc:creator>芦婧</dc:creator>
  <cp:lastModifiedBy>芦婧</cp:lastModifiedBy>
  <dcterms:modified xsi:type="dcterms:W3CDTF">2021-08-06T10:58:59Z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