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bookmarkStart w:id="8"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108</w:t>
      </w:r>
      <w:r>
        <w:rPr>
          <w:rFonts w:hint="eastAsia" w:ascii="仿宋_GB2312" w:hAnsi="仿宋" w:eastAsia="仿宋_GB2312" w:cs="仿宋"/>
          <w:sz w:val="32"/>
          <w:szCs w:val="32"/>
        </w:rPr>
        <w:t>号</w:t>
      </w:r>
      <w:bookmarkEnd w:id="8"/>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西北能化公司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2021年度安全风险分级管控实施方案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为</w:t>
      </w:r>
      <w:r>
        <w:rPr>
          <w:rFonts w:hint="eastAsia" w:ascii="仿宋_GB2312" w:hAnsi="仿宋_GB2312" w:eastAsia="仿宋_GB2312" w:cs="仿宋_GB2312"/>
          <w:b w:val="0"/>
          <w:bCs/>
          <w:color w:val="000000"/>
          <w:sz w:val="32"/>
          <w:szCs w:val="32"/>
          <w:lang w:val="en-US" w:eastAsia="zh-CN"/>
        </w:rPr>
        <w:t>切实做好公司安全生产风险防控工作，进一步提升公司安全生产管理水平，建立安全生产管控长效机制，通过源头控制、综合研判、过程管控、监督考核等措施，提高风险管控能力，着力</w:t>
      </w:r>
      <w:r>
        <w:rPr>
          <w:rFonts w:hint="eastAsia" w:ascii="仿宋_GB2312" w:hAnsi="仿宋_GB2312" w:eastAsia="仿宋_GB2312" w:cs="仿宋_GB2312"/>
          <w:b w:val="0"/>
          <w:bCs/>
          <w:color w:val="000000"/>
          <w:sz w:val="32"/>
          <w:szCs w:val="32"/>
          <w:lang w:eastAsia="zh-CN"/>
        </w:rPr>
        <w:t>防范化解重大风险，</w:t>
      </w:r>
      <w:r>
        <w:rPr>
          <w:rFonts w:hint="eastAsia" w:ascii="仿宋_GB2312" w:hAnsi="仿宋_GB2312" w:eastAsia="仿宋_GB2312" w:cs="仿宋_GB2312"/>
          <w:b w:val="0"/>
          <w:bCs/>
          <w:color w:val="000000"/>
          <w:sz w:val="32"/>
          <w:szCs w:val="32"/>
          <w:lang w:val="en-US" w:eastAsia="zh-CN"/>
        </w:rPr>
        <w:t>根据各级政府、集团公司文件精神，结合公司实际，特制订本方案。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坚持以习近平总书记重要指示为根本遵循，牢固树立安全发展理念，弘扬生命至上，安全第一的思想，坚守红线思维，以保安全，促发展为出发点，坚决防范化解安全生产过程中存在的风险，遏制重特大事故发生，全力推进公司安全有序发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二、管控原则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按照“谁主管、谁负责”，“分级控制”的原则，建立“分工明确、上下协同、专业配合、共同防御”的安全风险预警和控制体系，明确各级机构与各级人员的职责，建立安全风险预警和控制工作流程与节点标准，认真做好职责管理范围内安全风险预警和控制工作，根据安全风险类别及严重程度，落实预防和应急措施，化解和降低安全风险。重大风险坚持“关口前移、预防为主、全面辨识、过程管控、严格监督”的工作原则，上级负责管控的风险，下级应同时负责管控，逐级落实具体措施，加强重大风险全员、全过程、全方位管控和监督管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val="en-US" w:eastAsia="zh-CN"/>
        </w:rPr>
        <w:t xml:space="preserve">三、组织机构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成立四级风险评价、管控组织机构，分别为：公司级、部门级、车间级、班组级。</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（一）公司</w:t>
      </w:r>
      <w:r>
        <w:rPr>
          <w:rFonts w:hint="eastAsia" w:ascii="楷体_GB2312" w:hAnsi="楷体_GB2312" w:eastAsia="楷体_GB2312" w:cs="楷体_GB2312"/>
          <w:b w:val="0"/>
          <w:bCs/>
          <w:color w:val="000000"/>
          <w:sz w:val="32"/>
          <w:szCs w:val="32"/>
          <w:lang w:val="en-US" w:eastAsia="zh-CN"/>
        </w:rPr>
        <w:t>级</w:t>
      </w:r>
      <w:r>
        <w:rPr>
          <w:rFonts w:hint="eastAsia" w:ascii="楷体_GB2312" w:hAnsi="楷体_GB2312" w:eastAsia="楷体_GB2312" w:cs="楷体_GB2312"/>
          <w:b w:val="0"/>
          <w:bCs/>
          <w:color w:val="000000"/>
          <w:sz w:val="32"/>
          <w:szCs w:val="32"/>
          <w:lang w:eastAsia="zh-CN"/>
        </w:rPr>
        <w:t>风险</w:t>
      </w:r>
      <w:r>
        <w:rPr>
          <w:rFonts w:hint="eastAsia" w:ascii="楷体_GB2312" w:hAnsi="楷体_GB2312" w:eastAsia="楷体_GB2312" w:cs="楷体_GB2312"/>
          <w:b w:val="0"/>
          <w:bCs/>
          <w:color w:val="000000"/>
          <w:sz w:val="32"/>
          <w:szCs w:val="32"/>
          <w:lang w:val="en-US" w:eastAsia="zh-CN"/>
        </w:rPr>
        <w:t>评价、</w:t>
      </w:r>
      <w:r>
        <w:rPr>
          <w:rFonts w:hint="eastAsia" w:ascii="楷体_GB2312" w:hAnsi="楷体_GB2312" w:eastAsia="楷体_GB2312" w:cs="楷体_GB2312"/>
          <w:b w:val="0"/>
          <w:bCs/>
          <w:color w:val="000000"/>
          <w:sz w:val="32"/>
          <w:szCs w:val="32"/>
          <w:lang w:eastAsia="zh-CN"/>
        </w:rPr>
        <w:t>管控小组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组  长：</w:t>
      </w:r>
      <w:r>
        <w:rPr>
          <w:rFonts w:hint="eastAsia" w:ascii="仿宋_GB2312" w:hAnsi="仿宋_GB2312" w:eastAsia="仿宋_GB2312" w:cs="仿宋_GB2312"/>
          <w:b w:val="0"/>
          <w:bCs/>
          <w:color w:val="000000"/>
          <w:sz w:val="32"/>
          <w:szCs w:val="32"/>
          <w:lang w:val="en-US" w:eastAsia="zh-CN"/>
        </w:rPr>
        <w:t>李  胜、颛孙祖田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副组长：陈争峰、许令奇、郭</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勇、</w:t>
      </w:r>
      <w:r>
        <w:rPr>
          <w:rFonts w:hint="eastAsia" w:ascii="仿宋_GB2312" w:hAnsi="仿宋_GB2312" w:eastAsia="仿宋_GB2312" w:cs="仿宋_GB2312"/>
          <w:b w:val="0"/>
          <w:bCs/>
          <w:color w:val="000000"/>
          <w:sz w:val="32"/>
          <w:szCs w:val="32"/>
          <w:lang w:val="en-US" w:eastAsia="zh-CN"/>
        </w:rPr>
        <w:t>张荣江</w:t>
      </w:r>
      <w:r>
        <w:rPr>
          <w:rFonts w:hint="eastAsia" w:ascii="仿宋_GB2312" w:hAnsi="仿宋_GB2312" w:eastAsia="仿宋_GB2312" w:cs="仿宋_GB2312"/>
          <w:b w:val="0"/>
          <w:bCs/>
          <w:color w:val="000000"/>
          <w:sz w:val="32"/>
          <w:szCs w:val="32"/>
          <w:lang w:eastAsia="zh-CN"/>
        </w:rPr>
        <w:t>、陈</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迎、</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王昌济</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成  员：各职能部门、车间负责人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领导小组下设办公室，办公室设在安全环保部，</w:t>
      </w:r>
      <w:r>
        <w:rPr>
          <w:rFonts w:hint="eastAsia" w:ascii="仿宋_GB2312" w:hAnsi="仿宋_GB2312" w:eastAsia="仿宋_GB2312" w:cs="仿宋_GB2312"/>
          <w:b w:val="0"/>
          <w:bCs/>
          <w:color w:val="000000"/>
          <w:sz w:val="32"/>
          <w:szCs w:val="32"/>
          <w:lang w:val="en-US" w:eastAsia="zh-CN"/>
        </w:rPr>
        <w:t>安全环保部部长王昌济</w:t>
      </w:r>
      <w:r>
        <w:rPr>
          <w:rFonts w:hint="eastAsia" w:ascii="仿宋_GB2312" w:hAnsi="仿宋_GB2312" w:eastAsia="仿宋_GB2312" w:cs="仿宋_GB2312"/>
          <w:b w:val="0"/>
          <w:bCs/>
          <w:color w:val="000000"/>
          <w:sz w:val="32"/>
          <w:szCs w:val="32"/>
          <w:lang w:eastAsia="zh-CN"/>
        </w:rPr>
        <w:t>兼任办公室主任，具体负责安全风险分级管控的管理工作。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（二）部门级风险评价、管控小组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长：部</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副组长：副部长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成</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员：车间主任、副主任或者部门其他成员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w:t>
      </w:r>
      <w:r>
        <w:rPr>
          <w:rFonts w:hint="eastAsia" w:ascii="楷体_GB2312" w:hAnsi="楷体_GB2312" w:eastAsia="楷体_GB2312" w:cs="楷体_GB2312"/>
          <w:b w:val="0"/>
          <w:bCs/>
          <w:color w:val="000000"/>
          <w:sz w:val="32"/>
          <w:szCs w:val="32"/>
          <w:lang w:eastAsia="zh-CN"/>
        </w:rPr>
        <w:t>车间</w:t>
      </w:r>
      <w:r>
        <w:rPr>
          <w:rFonts w:hint="eastAsia" w:ascii="楷体_GB2312" w:hAnsi="楷体_GB2312" w:eastAsia="楷体_GB2312" w:cs="楷体_GB2312"/>
          <w:b w:val="0"/>
          <w:bCs/>
          <w:color w:val="000000"/>
          <w:sz w:val="32"/>
          <w:szCs w:val="32"/>
          <w:lang w:val="en-US" w:eastAsia="zh-CN"/>
        </w:rPr>
        <w:t>级</w:t>
      </w:r>
      <w:r>
        <w:rPr>
          <w:rFonts w:hint="eastAsia" w:ascii="楷体_GB2312" w:hAnsi="楷体_GB2312" w:eastAsia="楷体_GB2312" w:cs="楷体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组  长：车间主任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副组长：车间副主任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成  员：</w:t>
      </w:r>
      <w:r>
        <w:rPr>
          <w:rFonts w:hint="eastAsia" w:ascii="仿宋_GB2312" w:hAnsi="仿宋_GB2312" w:eastAsia="仿宋_GB2312" w:cs="仿宋_GB2312"/>
          <w:b w:val="0"/>
          <w:bCs/>
          <w:color w:val="000000"/>
          <w:sz w:val="32"/>
          <w:szCs w:val="32"/>
          <w:lang w:eastAsia="zh-CN"/>
        </w:rPr>
        <w:t>车间安全员、工艺技术员及</w:t>
      </w:r>
      <w:r>
        <w:rPr>
          <w:rFonts w:hint="eastAsia" w:ascii="仿宋_GB2312" w:hAnsi="仿宋_GB2312" w:eastAsia="仿宋_GB2312" w:cs="仿宋_GB2312"/>
          <w:b w:val="0"/>
          <w:bCs/>
          <w:color w:val="000000"/>
          <w:sz w:val="32"/>
          <w:szCs w:val="32"/>
          <w:lang w:val="en-US" w:eastAsia="zh-CN"/>
        </w:rPr>
        <w:t>班组班长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（四）班组级</w:t>
      </w:r>
      <w:r>
        <w:rPr>
          <w:rFonts w:hint="eastAsia" w:ascii="楷体_GB2312" w:hAnsi="楷体_GB2312" w:eastAsia="楷体_GB2312" w:cs="楷体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组  长：班组班长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副组长：班组主操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成  员：班组</w:t>
      </w:r>
      <w:r>
        <w:rPr>
          <w:rFonts w:hint="eastAsia" w:ascii="仿宋_GB2312" w:hAnsi="仿宋_GB2312" w:eastAsia="仿宋_GB2312" w:cs="仿宋_GB2312"/>
          <w:b w:val="0"/>
          <w:bCs/>
          <w:color w:val="000000"/>
          <w:sz w:val="32"/>
          <w:szCs w:val="32"/>
          <w:lang w:eastAsia="zh-CN"/>
        </w:rPr>
        <w:t>成员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四、管控小组职责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（一）公司</w:t>
      </w:r>
      <w:r>
        <w:rPr>
          <w:rFonts w:hint="eastAsia" w:ascii="楷体_GB2312" w:hAnsi="楷体_GB2312" w:eastAsia="楷体_GB2312" w:cs="楷体_GB2312"/>
          <w:b w:val="0"/>
          <w:bCs/>
          <w:color w:val="000000"/>
          <w:sz w:val="32"/>
          <w:szCs w:val="32"/>
          <w:lang w:val="en-US" w:eastAsia="zh-CN"/>
        </w:rPr>
        <w:t>级</w:t>
      </w:r>
      <w:r>
        <w:rPr>
          <w:rFonts w:hint="eastAsia" w:ascii="楷体_GB2312" w:hAnsi="楷体_GB2312" w:eastAsia="楷体_GB2312" w:cs="楷体_GB2312"/>
          <w:b w:val="0"/>
          <w:bCs/>
          <w:color w:val="000000"/>
          <w:sz w:val="32"/>
          <w:szCs w:val="32"/>
          <w:lang w:eastAsia="zh-CN"/>
        </w:rPr>
        <w:t>风险评价、管控小组职责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1.依据国家安全生产方针、法律法规及各级政府、集团公司的要求和规定，制定安全风险分级管控工作体系、工作制度，明确风险辨识的范围、方法和安全风险辨识、评估、管控的工作流程。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2.督促检查、指导公司安全风险分级管控工作的实施执行情况。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3.负责对重大风险进行全面管控，组织实施重大风险的管控措施，定期对重大风险管控措施落实情况和管控效果进行检查分析，不断完善管控措施，保证重大风险在可控范围内。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组织开展年度安全风险辨识评估，编制年度安全风险辨识评估报告，建立年度重大风险管控清单并对重大风险进行公示，制定管控措施，明确风险期、责任人等内容。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5.定期召开安全风险研判会议，分析研究安全风险管理体系的运转情况，解决存在的重大问题，确保安全风险防控体系处于受控状态和良性运转状态。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lang w:eastAsia="zh-CN"/>
        </w:rPr>
        <w:t>.负责对各</w:t>
      </w:r>
      <w:r>
        <w:rPr>
          <w:rFonts w:hint="eastAsia" w:ascii="仿宋_GB2312" w:hAnsi="仿宋_GB2312" w:eastAsia="仿宋_GB2312" w:cs="仿宋_GB2312"/>
          <w:b w:val="0"/>
          <w:bCs/>
          <w:color w:val="000000"/>
          <w:sz w:val="32"/>
          <w:szCs w:val="32"/>
          <w:lang w:val="en-US" w:eastAsia="zh-CN"/>
        </w:rPr>
        <w:t>部门、车间风险评价、管控小组的风险管控工作开展情况监督考核</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7.组织安全风险管理大检查，及时消除事故隐患，促进安全风险管理工作的不断深入，管理水平的不断提高。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（二）部门级风险评价、管控小组职责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1.根据管理职能负责指导、监督、推进分管业务范围内风险分级管控工作。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2.负责对较大风险进行全面管控，组织落实较大风险的管控措施，定期对重大、较大风险管控措施落实情况和管控效果进行检查分析，不断完善管控措施，保证较大风险在可控范围内。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3.督促检查、指导各车间安全风险分级管控工作的实施执行情况。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4.每周召开部门安全风险研判会议，对本部门月度安全风险管控重点实施情况进行一次检查分析，检查并改进、完善管控措施，对部门不可控风险上报</w:t>
      </w:r>
      <w:r>
        <w:rPr>
          <w:rFonts w:hint="eastAsia" w:ascii="仿宋_GB2312" w:hAnsi="仿宋_GB2312" w:eastAsia="仿宋_GB2312" w:cs="仿宋_GB2312"/>
          <w:b w:val="0"/>
          <w:bCs/>
          <w:color w:val="000000"/>
          <w:sz w:val="32"/>
          <w:szCs w:val="32"/>
          <w:lang w:eastAsia="zh-CN"/>
        </w:rPr>
        <w:t>公司</w:t>
      </w:r>
      <w:r>
        <w:rPr>
          <w:rFonts w:hint="eastAsia" w:ascii="仿宋_GB2312" w:hAnsi="仿宋_GB2312" w:eastAsia="仿宋_GB2312" w:cs="仿宋_GB2312"/>
          <w:b w:val="0"/>
          <w:bCs/>
          <w:color w:val="000000"/>
          <w:sz w:val="32"/>
          <w:szCs w:val="32"/>
          <w:lang w:val="en-US" w:eastAsia="zh-CN"/>
        </w:rPr>
        <w:t>级</w:t>
      </w:r>
      <w:r>
        <w:rPr>
          <w:rFonts w:hint="eastAsia" w:ascii="仿宋_GB2312" w:hAnsi="仿宋_GB2312" w:eastAsia="仿宋_GB2312" w:cs="仿宋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lang w:eastAsia="zh-CN"/>
        </w:rPr>
        <w:t>负责对各</w:t>
      </w:r>
      <w:r>
        <w:rPr>
          <w:rFonts w:hint="eastAsia" w:ascii="仿宋_GB2312" w:hAnsi="仿宋_GB2312" w:eastAsia="仿宋_GB2312" w:cs="仿宋_GB2312"/>
          <w:b w:val="0"/>
          <w:bCs/>
          <w:color w:val="000000"/>
          <w:sz w:val="32"/>
          <w:szCs w:val="32"/>
          <w:lang w:val="en-US" w:eastAsia="zh-CN"/>
        </w:rPr>
        <w:t>车间风险评价、管控小组风险管控工作开展情况监督考核</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6.组织安全风险管理大检查，及时消除事故隐患，促进安全风险管理工作的不断深入，管理水平的不断提高。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eastAsia="zh-CN"/>
        </w:rPr>
        <w:t>（三）</w:t>
      </w:r>
      <w:r>
        <w:rPr>
          <w:rFonts w:hint="eastAsia" w:ascii="楷体_GB2312" w:hAnsi="楷体_GB2312" w:eastAsia="楷体_GB2312" w:cs="楷体_GB2312"/>
          <w:b w:val="0"/>
          <w:bCs/>
          <w:color w:val="000000"/>
          <w:sz w:val="32"/>
          <w:szCs w:val="32"/>
          <w:lang w:val="en-US" w:eastAsia="zh-CN"/>
        </w:rPr>
        <w:t>车间</w:t>
      </w:r>
      <w:r>
        <w:rPr>
          <w:rFonts w:hint="eastAsia" w:ascii="楷体_GB2312" w:hAnsi="楷体_GB2312" w:eastAsia="楷体_GB2312" w:cs="楷体_GB2312"/>
          <w:b w:val="0"/>
          <w:bCs/>
          <w:color w:val="000000"/>
          <w:sz w:val="32"/>
          <w:szCs w:val="32"/>
          <w:lang w:eastAsia="zh-CN"/>
        </w:rPr>
        <w:t>级</w:t>
      </w:r>
      <w:r>
        <w:rPr>
          <w:rFonts w:hint="eastAsia" w:ascii="楷体_GB2312" w:hAnsi="楷体_GB2312" w:eastAsia="楷体_GB2312" w:cs="楷体_GB2312"/>
          <w:b w:val="0"/>
          <w:bCs/>
          <w:color w:val="000000"/>
          <w:sz w:val="32"/>
          <w:szCs w:val="32"/>
          <w:lang w:val="en-US" w:eastAsia="zh-CN"/>
        </w:rPr>
        <w:t>风险评价、管控小组</w:t>
      </w:r>
      <w:r>
        <w:rPr>
          <w:rFonts w:hint="eastAsia" w:ascii="楷体_GB2312" w:hAnsi="楷体_GB2312" w:eastAsia="楷体_GB2312" w:cs="楷体_GB2312"/>
          <w:b w:val="0"/>
          <w:bCs/>
          <w:color w:val="000000"/>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1.负责制定</w:t>
      </w:r>
      <w:r>
        <w:rPr>
          <w:rFonts w:hint="eastAsia" w:ascii="仿宋_GB2312" w:hAnsi="仿宋_GB2312" w:eastAsia="仿宋_GB2312" w:cs="仿宋_GB2312"/>
          <w:b w:val="0"/>
          <w:bCs/>
          <w:color w:val="000000"/>
          <w:sz w:val="32"/>
          <w:szCs w:val="32"/>
          <w:lang w:val="en-US" w:eastAsia="zh-CN"/>
        </w:rPr>
        <w:t>车间</w:t>
      </w:r>
      <w:r>
        <w:rPr>
          <w:rFonts w:hint="eastAsia" w:ascii="仿宋_GB2312" w:hAnsi="仿宋_GB2312" w:eastAsia="仿宋_GB2312" w:cs="仿宋_GB2312"/>
          <w:b w:val="0"/>
          <w:bCs/>
          <w:color w:val="000000"/>
          <w:sz w:val="32"/>
          <w:szCs w:val="32"/>
          <w:lang w:eastAsia="zh-CN"/>
        </w:rPr>
        <w:t>风险评价、</w:t>
      </w:r>
      <w:r>
        <w:rPr>
          <w:rFonts w:hint="eastAsia" w:ascii="仿宋_GB2312" w:hAnsi="仿宋_GB2312" w:eastAsia="仿宋_GB2312" w:cs="仿宋_GB2312"/>
          <w:b w:val="0"/>
          <w:bCs/>
          <w:color w:val="000000"/>
          <w:sz w:val="32"/>
          <w:szCs w:val="32"/>
          <w:lang w:val="en-US" w:eastAsia="zh-CN"/>
        </w:rPr>
        <w:t>培训</w:t>
      </w:r>
      <w:r>
        <w:rPr>
          <w:rFonts w:hint="eastAsia" w:ascii="仿宋_GB2312" w:hAnsi="仿宋_GB2312" w:eastAsia="仿宋_GB2312" w:cs="仿宋_GB2312"/>
          <w:b w:val="0"/>
          <w:bCs/>
          <w:color w:val="000000"/>
          <w:sz w:val="32"/>
          <w:szCs w:val="32"/>
          <w:lang w:eastAsia="zh-CN"/>
        </w:rPr>
        <w:t>计划，编制车间风险评估报告，</w:t>
      </w:r>
      <w:r>
        <w:rPr>
          <w:rFonts w:hint="eastAsia" w:ascii="仿宋_GB2312" w:hAnsi="仿宋_GB2312" w:eastAsia="仿宋_GB2312" w:cs="仿宋_GB2312"/>
          <w:b w:val="0"/>
          <w:bCs/>
          <w:color w:val="000000"/>
          <w:sz w:val="32"/>
          <w:szCs w:val="32"/>
          <w:lang w:val="en-US" w:eastAsia="zh-CN"/>
        </w:rPr>
        <w:t>组织开展</w:t>
      </w:r>
      <w:r>
        <w:rPr>
          <w:rFonts w:hint="eastAsia" w:ascii="仿宋_GB2312" w:hAnsi="仿宋_GB2312" w:eastAsia="仿宋_GB2312" w:cs="仿宋_GB2312"/>
          <w:b w:val="0"/>
          <w:bCs/>
          <w:color w:val="000000"/>
          <w:sz w:val="32"/>
          <w:szCs w:val="32"/>
          <w:lang w:eastAsia="zh-CN"/>
        </w:rPr>
        <w:t>风险分析方法的培训和运用，确保参与评价人员能掌握评价方法，可根据车间不同单元、工艺流程、设备设施等</w:t>
      </w:r>
      <w:r>
        <w:rPr>
          <w:rFonts w:hint="eastAsia" w:ascii="仿宋_GB2312" w:hAnsi="仿宋_GB2312" w:eastAsia="仿宋_GB2312" w:cs="仿宋_GB2312"/>
          <w:b w:val="0"/>
          <w:bCs/>
          <w:color w:val="000000"/>
          <w:sz w:val="32"/>
          <w:szCs w:val="32"/>
          <w:lang w:val="en-US" w:eastAsia="zh-CN"/>
        </w:rPr>
        <w:t>分工给班组级评价、管控小组</w:t>
      </w:r>
      <w:r>
        <w:rPr>
          <w:rFonts w:hint="eastAsia" w:ascii="仿宋_GB2312" w:hAnsi="仿宋_GB2312" w:eastAsia="仿宋_GB2312" w:cs="仿宋_GB2312"/>
          <w:b w:val="0"/>
          <w:bCs/>
          <w:color w:val="000000"/>
          <w:sz w:val="32"/>
          <w:szCs w:val="32"/>
          <w:lang w:eastAsia="zh-CN"/>
        </w:rPr>
        <w:t>开展</w:t>
      </w:r>
      <w:r>
        <w:rPr>
          <w:rFonts w:hint="eastAsia" w:ascii="仿宋_GB2312" w:hAnsi="仿宋_GB2312" w:eastAsia="仿宋_GB2312" w:cs="仿宋_GB2312"/>
          <w:b w:val="0"/>
          <w:bCs/>
          <w:color w:val="000000"/>
          <w:sz w:val="32"/>
          <w:szCs w:val="32"/>
          <w:lang w:val="en-US" w:eastAsia="zh-CN"/>
        </w:rPr>
        <w:t>风险分析和</w:t>
      </w:r>
      <w:r>
        <w:rPr>
          <w:rFonts w:hint="eastAsia" w:ascii="仿宋_GB2312" w:hAnsi="仿宋_GB2312" w:eastAsia="仿宋_GB2312" w:cs="仿宋_GB2312"/>
          <w:b w:val="0"/>
          <w:bCs/>
          <w:color w:val="000000"/>
          <w:sz w:val="32"/>
          <w:szCs w:val="32"/>
          <w:lang w:eastAsia="zh-CN"/>
        </w:rPr>
        <w:t>制定风险管控措施。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2.负责对本车间内所有风险进行全面管控，组织开展、落实本车间内的风险管控措施，定期对本车间风险管控措施落实情况和管控效果进行检查分析，不断完善管控措施，保证本车间风险在可控范围内。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3.每周召开车间安全风险研判会议，对本车间月度安全风险管控实施情况进行一次检查分析，检查并改进、完善管控措施，对车间不可控风险上报</w:t>
      </w:r>
      <w:r>
        <w:rPr>
          <w:rFonts w:hint="eastAsia" w:ascii="仿宋_GB2312" w:hAnsi="仿宋_GB2312" w:eastAsia="仿宋_GB2312" w:cs="仿宋_GB2312"/>
          <w:b w:val="0"/>
          <w:bCs/>
          <w:color w:val="000000"/>
          <w:sz w:val="32"/>
          <w:szCs w:val="32"/>
          <w:lang w:eastAsia="zh-CN"/>
        </w:rPr>
        <w:t>部门</w:t>
      </w:r>
      <w:r>
        <w:rPr>
          <w:rFonts w:hint="eastAsia" w:ascii="仿宋_GB2312" w:hAnsi="仿宋_GB2312" w:eastAsia="仿宋_GB2312" w:cs="仿宋_GB2312"/>
          <w:b w:val="0"/>
          <w:bCs/>
          <w:color w:val="000000"/>
          <w:sz w:val="32"/>
          <w:szCs w:val="32"/>
          <w:lang w:val="en-US" w:eastAsia="zh-CN"/>
        </w:rPr>
        <w:t>级</w:t>
      </w:r>
      <w:r>
        <w:rPr>
          <w:rFonts w:hint="eastAsia" w:ascii="仿宋_GB2312" w:hAnsi="仿宋_GB2312" w:eastAsia="仿宋_GB2312" w:cs="仿宋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4.组织安全风险管理大检查，及时消除事故隐患，促进安全风险管理工作的不断深入，管理水平的不断提高。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5.负责职工岗位风险防控知识培训、考核及现场落实。对关键装置、重点部位、重大危险源、上班前的安全确认、职工岗位风险预控、工序转换以及班后评估情况监督管理。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四</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班组</w:t>
      </w:r>
      <w:r>
        <w:rPr>
          <w:rFonts w:hint="eastAsia" w:ascii="楷体_GB2312" w:hAnsi="楷体_GB2312" w:eastAsia="楷体_GB2312" w:cs="楷体_GB2312"/>
          <w:b w:val="0"/>
          <w:bCs/>
          <w:color w:val="000000"/>
          <w:sz w:val="32"/>
          <w:szCs w:val="32"/>
          <w:lang w:eastAsia="zh-CN"/>
        </w:rPr>
        <w:t>级</w:t>
      </w:r>
      <w:r>
        <w:rPr>
          <w:rFonts w:hint="eastAsia" w:ascii="楷体_GB2312" w:hAnsi="楷体_GB2312" w:eastAsia="楷体_GB2312" w:cs="楷体_GB2312"/>
          <w:b w:val="0"/>
          <w:bCs/>
          <w:color w:val="000000"/>
          <w:sz w:val="32"/>
          <w:szCs w:val="32"/>
          <w:lang w:val="en-US" w:eastAsia="zh-CN"/>
        </w:rPr>
        <w:t>风险评价、管控小组</w:t>
      </w:r>
      <w:r>
        <w:rPr>
          <w:rFonts w:hint="eastAsia" w:ascii="楷体_GB2312" w:hAnsi="楷体_GB2312" w:eastAsia="楷体_GB2312" w:cs="楷体_GB2312"/>
          <w:b w:val="0"/>
          <w:bCs/>
          <w:color w:val="000000"/>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1.</w:t>
      </w:r>
      <w:r>
        <w:rPr>
          <w:rFonts w:hint="eastAsia" w:ascii="仿宋_GB2312" w:hAnsi="仿宋_GB2312" w:eastAsia="仿宋_GB2312" w:cs="仿宋_GB2312"/>
          <w:b w:val="0"/>
          <w:bCs/>
          <w:color w:val="000000"/>
          <w:sz w:val="32"/>
          <w:szCs w:val="32"/>
          <w:lang w:val="en-US" w:eastAsia="zh-CN"/>
        </w:rPr>
        <w:t>参与制定车间风险评价、培训计划，组织开展</w:t>
      </w:r>
      <w:r>
        <w:rPr>
          <w:rFonts w:hint="eastAsia" w:ascii="仿宋_GB2312" w:hAnsi="仿宋_GB2312" w:eastAsia="仿宋_GB2312" w:cs="仿宋_GB2312"/>
          <w:b w:val="0"/>
          <w:bCs/>
          <w:color w:val="000000"/>
          <w:sz w:val="32"/>
          <w:szCs w:val="32"/>
          <w:lang w:eastAsia="zh-CN"/>
        </w:rPr>
        <w:t>风险分析方法、</w:t>
      </w:r>
      <w:r>
        <w:rPr>
          <w:rFonts w:hint="eastAsia" w:ascii="仿宋_GB2312" w:hAnsi="仿宋_GB2312" w:eastAsia="仿宋_GB2312" w:cs="仿宋_GB2312"/>
          <w:b w:val="0"/>
          <w:bCs/>
          <w:color w:val="000000"/>
          <w:sz w:val="32"/>
          <w:szCs w:val="32"/>
          <w:lang w:val="en-US" w:eastAsia="zh-CN"/>
        </w:rPr>
        <w:t>风险管控措施</w:t>
      </w:r>
      <w:r>
        <w:rPr>
          <w:rFonts w:hint="eastAsia" w:ascii="仿宋_GB2312" w:hAnsi="仿宋_GB2312" w:eastAsia="仿宋_GB2312" w:cs="仿宋_GB2312"/>
          <w:b w:val="0"/>
          <w:bCs/>
          <w:color w:val="000000"/>
          <w:sz w:val="32"/>
          <w:szCs w:val="32"/>
          <w:lang w:eastAsia="zh-CN"/>
        </w:rPr>
        <w:t>的培训，确保</w:t>
      </w:r>
      <w:r>
        <w:rPr>
          <w:rFonts w:hint="eastAsia" w:ascii="仿宋_GB2312" w:hAnsi="仿宋_GB2312" w:eastAsia="仿宋_GB2312" w:cs="仿宋_GB2312"/>
          <w:b w:val="0"/>
          <w:bCs/>
          <w:color w:val="000000"/>
          <w:sz w:val="32"/>
          <w:szCs w:val="32"/>
          <w:lang w:val="en-US" w:eastAsia="zh-CN"/>
        </w:rPr>
        <w:t>本班组</w:t>
      </w:r>
      <w:r>
        <w:rPr>
          <w:rFonts w:hint="eastAsia" w:ascii="仿宋_GB2312" w:hAnsi="仿宋_GB2312" w:eastAsia="仿宋_GB2312" w:cs="仿宋_GB2312"/>
          <w:b w:val="0"/>
          <w:bCs/>
          <w:color w:val="000000"/>
          <w:sz w:val="32"/>
          <w:szCs w:val="32"/>
          <w:lang w:eastAsia="zh-CN"/>
        </w:rPr>
        <w:t>人员能掌握评价方法</w:t>
      </w:r>
      <w:r>
        <w:rPr>
          <w:rFonts w:hint="eastAsia" w:ascii="仿宋_GB2312" w:hAnsi="仿宋_GB2312" w:eastAsia="仿宋_GB2312" w:cs="仿宋_GB2312"/>
          <w:b w:val="0"/>
          <w:bCs/>
          <w:color w:val="000000"/>
          <w:sz w:val="32"/>
          <w:szCs w:val="32"/>
          <w:lang w:val="en-US" w:eastAsia="zh-CN"/>
        </w:rPr>
        <w:t>和风险管控措施</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组织开展本班组</w:t>
      </w:r>
      <w:r>
        <w:rPr>
          <w:rFonts w:hint="eastAsia" w:ascii="仿宋_GB2312" w:hAnsi="仿宋_GB2312" w:eastAsia="仿宋_GB2312" w:cs="仿宋_GB2312"/>
          <w:b w:val="0"/>
          <w:bCs/>
          <w:color w:val="000000"/>
          <w:sz w:val="32"/>
          <w:szCs w:val="32"/>
          <w:lang w:eastAsia="zh-CN"/>
        </w:rPr>
        <w:t>负责</w:t>
      </w:r>
      <w:r>
        <w:rPr>
          <w:rFonts w:hint="eastAsia" w:ascii="仿宋_GB2312" w:hAnsi="仿宋_GB2312" w:eastAsia="仿宋_GB2312" w:cs="仿宋_GB2312"/>
          <w:b w:val="0"/>
          <w:bCs/>
          <w:color w:val="000000"/>
          <w:sz w:val="32"/>
          <w:szCs w:val="32"/>
          <w:lang w:val="en-US" w:eastAsia="zh-CN"/>
        </w:rPr>
        <w:t>的风险分析，制定相应的管控措施，具体落实车间的风险管控措施。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3.负责本班组的生产操作，执行安全生产调度指令，严格遵守操作规程和工艺指标要求，按照工艺参数及时调整操作，确保安全生产。</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4.进行巡回检查，对风险管控措施落实情况和管控效果进行检查分析，查找发现装置运行存在的安全隐患，对班组不可控风险上报车间，不断完善管控措施，保证风险在可控范围内。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5.召开交接班会议，对当班期间安全生产情况进行汇报交接。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（五）风险管控办公室职责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1.负责</w:t>
      </w:r>
      <w:r>
        <w:rPr>
          <w:rFonts w:hint="eastAsia" w:ascii="仿宋_GB2312" w:hAnsi="仿宋_GB2312" w:eastAsia="仿宋_GB2312" w:cs="仿宋_GB2312"/>
          <w:b w:val="0"/>
          <w:bCs/>
          <w:color w:val="000000"/>
          <w:sz w:val="32"/>
          <w:szCs w:val="32"/>
          <w:lang w:eastAsia="zh-CN"/>
        </w:rPr>
        <w:t>安全风险分级管控管理</w:t>
      </w:r>
      <w:r>
        <w:rPr>
          <w:rFonts w:hint="eastAsia" w:ascii="仿宋_GB2312" w:hAnsi="仿宋_GB2312" w:eastAsia="仿宋_GB2312" w:cs="仿宋_GB2312"/>
          <w:b w:val="0"/>
          <w:bCs/>
          <w:color w:val="000000"/>
          <w:sz w:val="32"/>
          <w:szCs w:val="32"/>
          <w:lang w:val="en-US" w:eastAsia="zh-CN"/>
        </w:rPr>
        <w:t>的日常</w:t>
      </w:r>
      <w:r>
        <w:rPr>
          <w:rFonts w:hint="eastAsia" w:ascii="仿宋_GB2312" w:hAnsi="仿宋_GB2312" w:eastAsia="仿宋_GB2312" w:cs="仿宋_GB2312"/>
          <w:b w:val="0"/>
          <w:bCs/>
          <w:color w:val="000000"/>
          <w:sz w:val="32"/>
          <w:szCs w:val="32"/>
          <w:lang w:eastAsia="zh-CN"/>
        </w:rPr>
        <w:t>工作，</w:t>
      </w:r>
      <w:r>
        <w:rPr>
          <w:rFonts w:hint="eastAsia" w:ascii="仿宋_GB2312" w:hAnsi="仿宋_GB2312" w:eastAsia="仿宋_GB2312" w:cs="仿宋_GB2312"/>
          <w:b w:val="0"/>
          <w:bCs/>
          <w:color w:val="000000"/>
          <w:sz w:val="32"/>
          <w:szCs w:val="32"/>
          <w:lang w:val="en-US" w:eastAsia="zh-CN"/>
        </w:rPr>
        <w:t>编制公司年度风险评价报告，定期进行风险信息更新。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2.组织制定安全风险分级管控实施方案，明确辨识程序、评估方法、管控措施以及层级责任、考核奖惩等内容。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3.组织开展</w:t>
      </w:r>
      <w:r>
        <w:rPr>
          <w:rFonts w:hint="eastAsia" w:ascii="仿宋_GB2312" w:hAnsi="仿宋_GB2312" w:eastAsia="仿宋_GB2312" w:cs="仿宋_GB2312"/>
          <w:b w:val="0"/>
          <w:bCs/>
          <w:color w:val="000000"/>
          <w:sz w:val="32"/>
          <w:szCs w:val="32"/>
          <w:lang w:eastAsia="zh-CN"/>
        </w:rPr>
        <w:t>风险分析方法的培训和运用，</w:t>
      </w:r>
      <w:r>
        <w:rPr>
          <w:rFonts w:hint="eastAsia" w:ascii="仿宋_GB2312" w:hAnsi="仿宋_GB2312" w:eastAsia="仿宋_GB2312" w:cs="仿宋_GB2312"/>
          <w:b w:val="0"/>
          <w:bCs/>
          <w:color w:val="000000"/>
          <w:sz w:val="32"/>
          <w:szCs w:val="32"/>
          <w:lang w:val="en-US" w:eastAsia="zh-CN"/>
        </w:rPr>
        <w:t>指导、督促各单位开展安全风险分级管控工作。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4.组织相关人员对各单位安全风险分级管控实施情况进行检查、考核。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5.承办上级部门和车间</w:t>
      </w:r>
      <w:r>
        <w:rPr>
          <w:rFonts w:hint="eastAsia" w:ascii="仿宋_GB2312" w:hAnsi="仿宋_GB2312" w:eastAsia="仿宋_GB2312" w:cs="仿宋_GB2312"/>
          <w:b w:val="0"/>
          <w:bCs/>
          <w:color w:val="000000"/>
          <w:sz w:val="32"/>
          <w:szCs w:val="32"/>
          <w:lang w:eastAsia="zh-CN"/>
        </w:rPr>
        <w:t>级</w:t>
      </w:r>
      <w:r>
        <w:rPr>
          <w:rFonts w:hint="eastAsia" w:ascii="仿宋_GB2312" w:hAnsi="仿宋_GB2312" w:eastAsia="仿宋_GB2312" w:cs="仿宋_GB2312"/>
          <w:b w:val="0"/>
          <w:bCs/>
          <w:color w:val="000000"/>
          <w:sz w:val="32"/>
          <w:szCs w:val="32"/>
          <w:lang w:val="en-US" w:eastAsia="zh-CN"/>
        </w:rPr>
        <w:t>风险评价、管控小组交办的其他工作。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五、重大风险管控职责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（一）主要负责人职责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公司党委副书记、执行董事、经理是重大风险管控工作的第一责任人，对重大风险管控工作全面负责。负责组织开展年度安全风险辨识评估，建立年度重大风险管控清单，制定管控措施，明确风险期限、责任人等内容；每月度在安委会会议对重大风险管控措施落实及效果进行总结分析，部署下月度重大安全风险管控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（二）分管负责人职责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负责组织开展重大风险辨识查找，细化管控措施，严格落实，确保管控有效；根据月度生产计划和现场条件变化情况等，及时预控重大风险，补充完善管控措施，修订月度管控清单；每周开展重大风险分析研判和风险管控措施落实情况自查自改，分析现有管控措施，要针对性、有效性的补充完善管控措施，确保重大风险管控到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（三）分管安全负责人、安全环保部职责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负责重大风险管控责任落实的监督检查。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（四）生产技术部、设备部职责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根据管理职能负责指导、监督、推进分管业务范围内重大风险管控工作。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1.公司主要负责人每月不定期抽查分管负责人对分管范围内重大风险掌握情况；分管负责人对分管单位及职能部室人员掌握重大风险情况，每月抽查不少于 2 次。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公司主要负责人应掌握重大风险及主要管控措施，分管负责人、职能部门负责人及相关管理人员应掌握职责范围内重大风险及管控措施，车间负责人及相关管理人员、班组长、岗位员工应掌握并严格落实本工作区域内重大风险的管控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级风险评价、管控小组应按照风险分级管控作业指导书要求和公司《风险评价分级管理制度》，定期开展风险辨识、评估、分级工作</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单位</w:t>
      </w:r>
      <w:r>
        <w:rPr>
          <w:rFonts w:hint="eastAsia" w:ascii="仿宋_GB2312" w:hAnsi="仿宋_GB2312" w:eastAsia="仿宋_GB2312" w:cs="仿宋_GB2312"/>
          <w:b w:val="0"/>
          <w:bCs/>
          <w:color w:val="000000"/>
          <w:sz w:val="32"/>
          <w:szCs w:val="32"/>
          <w:lang w:eastAsia="zh-CN"/>
        </w:rPr>
        <w:t>负责人要高度重视，亲自负责，制定风险辨识、评价工作计划，</w:t>
      </w:r>
      <w:r>
        <w:rPr>
          <w:rFonts w:hint="eastAsia" w:ascii="仿宋_GB2312" w:hAnsi="仿宋_GB2312" w:eastAsia="仿宋_GB2312" w:cs="仿宋_GB2312"/>
          <w:b w:val="0"/>
          <w:bCs/>
          <w:color w:val="000000"/>
          <w:sz w:val="32"/>
          <w:szCs w:val="32"/>
          <w:lang w:val="en-US" w:eastAsia="zh-CN"/>
        </w:rPr>
        <w:t>每周开展一次风险研判会议，会议内容纸版存档，安全环保部定期抽查。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5.公司每月重大风险的管控措施落实情况进行分析研判，各部门、车间将本单位近期风险管控工作在安委会上进行汇报。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6.各单位</w:t>
      </w:r>
      <w:r>
        <w:rPr>
          <w:rFonts w:hint="eastAsia" w:ascii="仿宋_GB2312" w:hAnsi="仿宋_GB2312" w:eastAsia="仿宋_GB2312" w:cs="仿宋_GB2312"/>
          <w:b w:val="0"/>
          <w:bCs/>
          <w:color w:val="000000"/>
          <w:sz w:val="32"/>
          <w:szCs w:val="32"/>
          <w:lang w:eastAsia="zh-CN"/>
        </w:rPr>
        <w:t>每季度至少</w:t>
      </w:r>
      <w:r>
        <w:rPr>
          <w:rFonts w:hint="eastAsia" w:ascii="仿宋_GB2312" w:hAnsi="仿宋_GB2312" w:eastAsia="仿宋_GB2312" w:cs="仿宋_GB2312"/>
          <w:b w:val="0"/>
          <w:bCs/>
          <w:color w:val="000000"/>
          <w:sz w:val="32"/>
          <w:szCs w:val="32"/>
          <w:lang w:val="en-US" w:eastAsia="zh-CN"/>
        </w:rPr>
        <w:t>组织</w:t>
      </w:r>
      <w:r>
        <w:rPr>
          <w:rFonts w:hint="eastAsia" w:ascii="仿宋_GB2312" w:hAnsi="仿宋_GB2312" w:eastAsia="仿宋_GB2312" w:cs="仿宋_GB2312"/>
          <w:b w:val="0"/>
          <w:bCs/>
          <w:color w:val="000000"/>
          <w:sz w:val="32"/>
          <w:szCs w:val="32"/>
          <w:lang w:eastAsia="zh-CN"/>
        </w:rPr>
        <w:t>开展1次</w:t>
      </w:r>
      <w:r>
        <w:rPr>
          <w:rFonts w:hint="eastAsia" w:ascii="仿宋_GB2312" w:hAnsi="仿宋_GB2312" w:eastAsia="仿宋_GB2312" w:cs="仿宋_GB2312"/>
          <w:b w:val="0"/>
          <w:bCs/>
          <w:color w:val="000000"/>
          <w:sz w:val="32"/>
          <w:szCs w:val="32"/>
          <w:lang w:val="en-US" w:eastAsia="zh-CN"/>
        </w:rPr>
        <w:t>全系统的</w:t>
      </w:r>
      <w:r>
        <w:rPr>
          <w:rFonts w:hint="eastAsia" w:ascii="仿宋_GB2312" w:hAnsi="仿宋_GB2312" w:eastAsia="仿宋_GB2312" w:cs="仿宋_GB2312"/>
          <w:b w:val="0"/>
          <w:bCs/>
          <w:color w:val="000000"/>
          <w:sz w:val="32"/>
          <w:szCs w:val="32"/>
          <w:lang w:eastAsia="zh-CN"/>
        </w:rPr>
        <w:t>安全风险评估和危害辨识活动，分析结果每季度最后一个月</w:t>
      </w:r>
      <w:r>
        <w:rPr>
          <w:rFonts w:hint="eastAsia" w:ascii="仿宋_GB2312" w:hAnsi="仿宋_GB2312" w:eastAsia="仿宋_GB2312" w:cs="仿宋_GB2312"/>
          <w:b w:val="0"/>
          <w:bCs/>
          <w:color w:val="000000"/>
          <w:sz w:val="32"/>
          <w:szCs w:val="32"/>
          <w:lang w:val="en-US" w:eastAsia="zh-CN"/>
        </w:rPr>
        <w:t>25日前报安全环保部</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7.各车间</w:t>
      </w:r>
      <w:r>
        <w:rPr>
          <w:rFonts w:hint="eastAsia" w:ascii="仿宋_GB2312" w:hAnsi="仿宋_GB2312" w:eastAsia="仿宋_GB2312" w:cs="仿宋_GB2312"/>
          <w:b w:val="0"/>
          <w:bCs/>
          <w:color w:val="000000"/>
          <w:sz w:val="32"/>
          <w:szCs w:val="32"/>
          <w:lang w:eastAsia="zh-CN"/>
        </w:rPr>
        <w:t>辨识出的</w:t>
      </w:r>
      <w:r>
        <w:rPr>
          <w:rFonts w:hint="eastAsia" w:ascii="仿宋_GB2312" w:hAnsi="仿宋_GB2312" w:eastAsia="仿宋_GB2312" w:cs="仿宋_GB2312"/>
          <w:b w:val="0"/>
          <w:bCs/>
          <w:color w:val="000000"/>
          <w:sz w:val="32"/>
          <w:szCs w:val="32"/>
          <w:lang w:val="en-US" w:eastAsia="zh-CN"/>
        </w:rPr>
        <w:t>较大</w:t>
      </w:r>
      <w:r>
        <w:rPr>
          <w:rFonts w:hint="eastAsia" w:ascii="仿宋_GB2312" w:hAnsi="仿宋_GB2312" w:eastAsia="仿宋_GB2312" w:cs="仿宋_GB2312"/>
          <w:b w:val="0"/>
          <w:bCs/>
          <w:color w:val="000000"/>
          <w:sz w:val="32"/>
          <w:szCs w:val="32"/>
          <w:lang w:eastAsia="zh-CN"/>
        </w:rPr>
        <w:t>风险报送</w:t>
      </w:r>
      <w:r>
        <w:rPr>
          <w:rFonts w:hint="eastAsia" w:ascii="仿宋_GB2312" w:hAnsi="仿宋_GB2312" w:eastAsia="仿宋_GB2312" w:cs="仿宋_GB2312"/>
          <w:b w:val="0"/>
          <w:bCs/>
          <w:color w:val="000000"/>
          <w:sz w:val="32"/>
          <w:szCs w:val="32"/>
          <w:lang w:val="en-US" w:eastAsia="zh-CN"/>
        </w:rPr>
        <w:t>至部门级风险评价、管控小组和</w:t>
      </w:r>
      <w:r>
        <w:rPr>
          <w:rFonts w:hint="eastAsia" w:ascii="仿宋_GB2312" w:hAnsi="仿宋_GB2312" w:eastAsia="仿宋_GB2312" w:cs="仿宋_GB2312"/>
          <w:b w:val="0"/>
          <w:bCs/>
          <w:color w:val="000000"/>
          <w:sz w:val="32"/>
          <w:szCs w:val="32"/>
          <w:lang w:eastAsia="zh-CN"/>
        </w:rPr>
        <w:t>安全环保部，由</w:t>
      </w:r>
      <w:r>
        <w:rPr>
          <w:rFonts w:hint="eastAsia" w:ascii="仿宋_GB2312" w:hAnsi="仿宋_GB2312" w:eastAsia="仿宋_GB2312" w:cs="仿宋_GB2312"/>
          <w:b w:val="0"/>
          <w:bCs/>
          <w:color w:val="000000"/>
          <w:sz w:val="32"/>
          <w:szCs w:val="32"/>
          <w:lang w:val="en-US" w:eastAsia="zh-CN"/>
        </w:rPr>
        <w:t>部门级</w:t>
      </w:r>
      <w:r>
        <w:rPr>
          <w:rFonts w:hint="eastAsia" w:ascii="仿宋_GB2312" w:hAnsi="仿宋_GB2312" w:eastAsia="仿宋_GB2312" w:cs="仿宋_GB2312"/>
          <w:b w:val="0"/>
          <w:bCs/>
          <w:color w:val="000000"/>
          <w:sz w:val="32"/>
          <w:szCs w:val="32"/>
          <w:lang w:eastAsia="zh-CN"/>
        </w:rPr>
        <w:t>风险评价、</w:t>
      </w:r>
      <w:r>
        <w:rPr>
          <w:rFonts w:hint="eastAsia" w:ascii="仿宋_GB2312" w:hAnsi="仿宋_GB2312" w:eastAsia="仿宋_GB2312" w:cs="仿宋_GB2312"/>
          <w:b w:val="0"/>
          <w:bCs/>
          <w:color w:val="000000"/>
          <w:sz w:val="32"/>
          <w:szCs w:val="32"/>
          <w:lang w:val="en-US" w:eastAsia="zh-CN"/>
        </w:rPr>
        <w:t>管控</w:t>
      </w:r>
      <w:r>
        <w:rPr>
          <w:rFonts w:hint="eastAsia" w:ascii="仿宋_GB2312" w:hAnsi="仿宋_GB2312" w:eastAsia="仿宋_GB2312" w:cs="仿宋_GB2312"/>
          <w:b w:val="0"/>
          <w:bCs/>
          <w:color w:val="000000"/>
          <w:sz w:val="32"/>
          <w:szCs w:val="32"/>
          <w:lang w:eastAsia="zh-CN"/>
        </w:rPr>
        <w:t>小组组织重新进行风险辨识，责任车间要制定控制措施和改进计划，构成较大风险的隐患必须</w:t>
      </w:r>
      <w:r>
        <w:rPr>
          <w:rFonts w:hint="eastAsia" w:ascii="仿宋_GB2312" w:hAnsi="仿宋_GB2312" w:eastAsia="仿宋_GB2312" w:cs="仿宋_GB2312"/>
          <w:b w:val="0"/>
          <w:bCs/>
          <w:color w:val="000000"/>
          <w:sz w:val="32"/>
          <w:szCs w:val="32"/>
          <w:lang w:val="en-US" w:eastAsia="zh-CN"/>
        </w:rPr>
        <w:t>立即整改或一个季度</w:t>
      </w:r>
      <w:r>
        <w:rPr>
          <w:rFonts w:hint="eastAsia" w:ascii="仿宋_GB2312" w:hAnsi="仿宋_GB2312" w:eastAsia="仿宋_GB2312" w:cs="仿宋_GB2312"/>
          <w:b w:val="0"/>
          <w:bCs/>
          <w:color w:val="000000"/>
          <w:sz w:val="32"/>
          <w:szCs w:val="32"/>
          <w:lang w:eastAsia="zh-CN"/>
        </w:rPr>
        <w:t>内完成整改。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8</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各单位</w:t>
      </w:r>
      <w:r>
        <w:rPr>
          <w:rFonts w:hint="eastAsia" w:ascii="仿宋_GB2312" w:hAnsi="仿宋_GB2312" w:eastAsia="仿宋_GB2312" w:cs="仿宋_GB2312"/>
          <w:b w:val="0"/>
          <w:bCs/>
          <w:color w:val="000000"/>
          <w:sz w:val="32"/>
          <w:szCs w:val="32"/>
          <w:lang w:eastAsia="zh-CN"/>
        </w:rPr>
        <w:t>辨识出的重大风险，要先采取紧急管控措施降低风险，并上报</w:t>
      </w:r>
      <w:r>
        <w:rPr>
          <w:rFonts w:hint="eastAsia" w:ascii="仿宋_GB2312" w:hAnsi="仿宋_GB2312" w:eastAsia="仿宋_GB2312" w:cs="仿宋_GB2312"/>
          <w:b w:val="0"/>
          <w:bCs/>
          <w:color w:val="000000"/>
          <w:sz w:val="32"/>
          <w:szCs w:val="32"/>
          <w:lang w:val="en-US" w:eastAsia="zh-CN"/>
        </w:rPr>
        <w:t>公司</w:t>
      </w:r>
      <w:r>
        <w:rPr>
          <w:rFonts w:hint="eastAsia" w:ascii="仿宋_GB2312" w:hAnsi="仿宋_GB2312" w:eastAsia="仿宋_GB2312" w:cs="仿宋_GB2312"/>
          <w:b w:val="0"/>
          <w:bCs/>
          <w:color w:val="000000"/>
          <w:sz w:val="32"/>
          <w:szCs w:val="32"/>
          <w:lang w:eastAsia="zh-CN"/>
        </w:rPr>
        <w:t>级</w:t>
      </w:r>
      <w:r>
        <w:rPr>
          <w:rFonts w:hint="eastAsia" w:ascii="仿宋_GB2312" w:hAnsi="仿宋_GB2312" w:eastAsia="仿宋_GB2312" w:cs="仿宋_GB2312"/>
          <w:b w:val="0"/>
          <w:bCs/>
          <w:color w:val="000000"/>
          <w:sz w:val="32"/>
          <w:szCs w:val="32"/>
          <w:lang w:val="en-US" w:eastAsia="zh-CN"/>
        </w:rPr>
        <w:t>风险评价、管控小组</w:t>
      </w:r>
      <w:r>
        <w:rPr>
          <w:rFonts w:hint="eastAsia" w:ascii="仿宋_GB2312" w:hAnsi="仿宋_GB2312" w:eastAsia="仿宋_GB2312" w:cs="仿宋_GB2312"/>
          <w:b w:val="0"/>
          <w:bCs/>
          <w:color w:val="000000"/>
          <w:sz w:val="32"/>
          <w:szCs w:val="32"/>
          <w:lang w:eastAsia="zh-CN"/>
        </w:rPr>
        <w:t>，制定安全控制措施，建立运行控制程序，定期检查、测量及评估，确保将重大风险降低为一般风险或低风险等级，若经采取控制措施后仍然构成重大风险，则经公司</w:t>
      </w:r>
      <w:r>
        <w:rPr>
          <w:rFonts w:hint="eastAsia" w:ascii="仿宋_GB2312" w:hAnsi="仿宋_GB2312" w:eastAsia="仿宋_GB2312" w:cs="仿宋_GB2312"/>
          <w:b w:val="0"/>
          <w:bCs/>
          <w:color w:val="000000"/>
          <w:sz w:val="32"/>
          <w:szCs w:val="32"/>
          <w:lang w:val="en-US" w:eastAsia="zh-CN"/>
        </w:rPr>
        <w:t>级</w:t>
      </w:r>
      <w:r>
        <w:rPr>
          <w:rFonts w:hint="eastAsia" w:ascii="仿宋_GB2312" w:hAnsi="仿宋_GB2312" w:eastAsia="仿宋_GB2312" w:cs="仿宋_GB2312"/>
          <w:b w:val="0"/>
          <w:bCs/>
          <w:color w:val="000000"/>
          <w:sz w:val="32"/>
          <w:szCs w:val="32"/>
          <w:lang w:eastAsia="zh-CN"/>
        </w:rPr>
        <w:t>风险评价、管控小组</w:t>
      </w:r>
      <w:r>
        <w:rPr>
          <w:rFonts w:hint="eastAsia" w:ascii="仿宋_GB2312" w:hAnsi="仿宋_GB2312" w:eastAsia="仿宋_GB2312" w:cs="仿宋_GB2312"/>
          <w:b w:val="0"/>
          <w:bCs/>
          <w:color w:val="000000"/>
          <w:sz w:val="32"/>
          <w:szCs w:val="32"/>
          <w:lang w:val="en-US" w:eastAsia="zh-CN"/>
        </w:rPr>
        <w:t>研判</w:t>
      </w:r>
      <w:r>
        <w:rPr>
          <w:rFonts w:hint="eastAsia" w:ascii="仿宋_GB2312" w:hAnsi="仿宋_GB2312" w:eastAsia="仿宋_GB2312" w:cs="仿宋_GB2312"/>
          <w:b w:val="0"/>
          <w:bCs/>
          <w:color w:val="000000"/>
          <w:sz w:val="32"/>
          <w:szCs w:val="32"/>
          <w:lang w:eastAsia="zh-CN"/>
        </w:rPr>
        <w:t>后</w:t>
      </w:r>
      <w:r>
        <w:rPr>
          <w:rFonts w:hint="eastAsia" w:ascii="仿宋_GB2312" w:hAnsi="仿宋_GB2312" w:eastAsia="仿宋_GB2312" w:cs="仿宋_GB2312"/>
          <w:b w:val="0"/>
          <w:bCs/>
          <w:color w:val="000000"/>
          <w:sz w:val="32"/>
          <w:szCs w:val="32"/>
          <w:lang w:val="en-US" w:eastAsia="zh-CN"/>
        </w:rPr>
        <w:t>进行处理</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单位</w:t>
      </w:r>
      <w:r>
        <w:rPr>
          <w:rFonts w:hint="eastAsia" w:ascii="仿宋_GB2312" w:hAnsi="仿宋_GB2312" w:eastAsia="仿宋_GB2312" w:cs="仿宋_GB2312"/>
          <w:b w:val="0"/>
          <w:bCs/>
          <w:color w:val="000000"/>
          <w:sz w:val="32"/>
          <w:szCs w:val="32"/>
          <w:lang w:eastAsia="zh-CN"/>
        </w:rPr>
        <w:t>根据辨识出的风险等级，从工程控制措施、管理控制措施、个体防护措施、应急措施等方面检查，完善控制措施，组织相关人员进行培训学习。</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级风险评价、管控小组每次风险辨识结束后，应由各级风险评价、管控小组组长签字审核，针对各系统安全风险和安全隐患，按照公司制定的安全风险等级评定标准，建立一整套安全风险数据库、重大安全风险清单、绘制“红橙黄蓝”四色安全风险空间分布图，汇总造册，要完善本单位安全风险档案，明确级别、管理状况、责任人、管控能力等基本情况，实行“一风险一档案”，并按照风险等级，用红、橙、黄、蓝等色彩对档案进行分类管理，对现场辨识出的不同类别安全风险，必须明确应急处置程序和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11.各单位将分级管控结果对从业人员进行宣传、培训，将风险分级管控结果作为公司指导修订完善操作规程、工艺交出方案、检修方案、安全技术规程等技术措施，不断改进、补充、完善，确保管理层和每名员工熟练掌握安全风险的基本情况及防范、应急措施，在重点区域醒目位置设置安全风险公告栏，制作岗位安全风险告知卡，表明主要安全风险可能引发事故隐患类别、事故后果、管控措施、应急措施及报告方式等内容，对存在重大风险的工作场所和岗位，设置明显警示标志，加强危险源监测和预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七、检查考核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1.对危险点排查不细致、不全面，控制措施与实际不符，存在应付现象或提交不积极，未按要求建立风险清单，给予责任单位负责人按一般“三违”考核。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2.评价出的风险管控不当造成事故，依据公司安全一号文考核办法，对责任单位负责人和相关责任人进行考核。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3.新增风险未及时进行分级管控，未纳入管理，给予责任单位负责人按一般“三违”考核。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4.对于存在重大风险管控措施落实不到位、效果不达 标、责任不落实的将采取通报、警示告知、警示约谈、责任倒查等方式进行问责。重大风险管控不力，情节严重或造成事故后果的，依据公司安全一号文严肃追究相关单位和人员的责任。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各级值班人员对重大风险管控措施落实情况负监督检查职责，各级管理人员、岗位作人员发现重大风险管控措施落实不到位，应及时发出风险预警并进行汇报，发现重大风险管控不力可能导致重大隐患的，应立即停止作业活动或设备设施使用，撤出所有受威胁区域的作业人员，及时向本单位负责人和调度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6.其他未尽事宜将依据公司安全一号文进行考核。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附件：1.西北能化公司重大风险管控责任清单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2.西北能化公司风险分级管控</w:t>
      </w:r>
      <w:bookmarkStart w:id="0" w:name="_Toc11921154"/>
      <w:bookmarkStart w:id="1" w:name="_Toc11921448"/>
      <w:r>
        <w:rPr>
          <w:rFonts w:hint="eastAsia" w:ascii="仿宋_GB2312" w:hAnsi="仿宋_GB2312" w:eastAsia="仿宋_GB2312" w:cs="仿宋_GB2312"/>
          <w:b w:val="0"/>
          <w:bCs/>
          <w:color w:val="000000"/>
          <w:sz w:val="32"/>
          <w:szCs w:val="32"/>
          <w:lang w:val="en-US" w:eastAsia="zh-CN"/>
        </w:rPr>
        <w:t>作业指导书</w:t>
      </w:r>
      <w:bookmarkEnd w:id="0"/>
      <w:bookmarkEnd w:id="1"/>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16</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2"/>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6</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16</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tbl>
      <w:tblPr>
        <w:tblStyle w:val="9"/>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numPr>
                <w:ilvl w:val="0"/>
                <w:numId w:val="0"/>
              </w:numPr>
              <w:spacing w:line="56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1</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成品罐区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1.阻火器、</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2.泡沫灭火系统、消防喷淋系统故障，消防器材、应急器材缺失或失效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4.罐区地面、墙壁发生塌陷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5.无关人员进入罐区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9.罐区自动控制系统、SIS紧急切断联锁系统故障或阀门（远程控制）故障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10.压力、液位等信息的不间断采集和监测系统与联锁紧急切断系统故障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11.储罐罐壁、人孔、法兰、管道发生泄漏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tbl>
      <w:tblPr>
        <w:tblStyle w:val="9"/>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2</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中间罐区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1.阻火器、</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2.泡沫灭火系统、消防喷淋系统故障，消防器材、应急器材缺失或失效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4.罐区地面、墙壁发生塌陷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5.无关人员进入罐区</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9.自动控制系统、SIS紧急切断联锁系统故障或阀门（远程控制）故障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10.压力、液位等信息的不间断采集和监测系统与联锁紧急切断系统故障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11.储罐罐壁、人孔、法兰、管道发生泄漏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tbl>
      <w:tblPr>
        <w:tblStyle w:val="9"/>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3</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脱硫脱碳</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2.操作工艺指标发生偏离，未及时调整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4.无关人员进入装置区内</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5.装置框架、基础、地面发生塌陷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7.安全阀故障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11.压力、液位等信息的不间断采集和监测系统、自动控制系统、联锁系统故障或阀门（远程控制）故障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tbl>
      <w:tblPr>
        <w:tblStyle w:val="9"/>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4</w:t>
            </w:r>
          </w:p>
        </w:tc>
        <w:tc>
          <w:tcPr>
            <w:tcW w:w="7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氨冰机</w:t>
            </w:r>
          </w:p>
        </w:tc>
        <w:tc>
          <w:tcPr>
            <w:tcW w:w="5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3.装置框架、基础、地面发生塌陷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4.操作工艺指标发生偏离，未及时调整</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5.无关人员进入装置区内</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6.紧急停车系统故障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9.有毒气体（氨气）检测报警装置故障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11.压力、液位等信息的不间断采集和监测系统、自动控制系统、联锁系统故障或阀门（远程控制）故障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tbl>
      <w:tblPr>
        <w:tblStyle w:val="9"/>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5</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液氨罐区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动力车间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1.安全阀、</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2.消防喷淋系统故障、消防器材、应急器材缺失或失效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4.罐区基础、地面、墙壁发生塌陷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5.无关人进入罐区</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6.液氨装卸作业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8.有毒气体（氨气）检测报警装置故障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10.阀门（远程控制）、自动控制系统故障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11.压力、液位等信息的不间断采集和监测系统与紧急自动切断系统故障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12.储罐罐壁、人孔、法兰、管道出现漏点，发生泄漏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陈方悟、卢军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危险作业活动</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6</w:t>
            </w:r>
          </w:p>
        </w:tc>
        <w:tc>
          <w:tcPr>
            <w:tcW w:w="776"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气化炉投料作业</w:t>
            </w:r>
          </w:p>
        </w:tc>
        <w:tc>
          <w:tcPr>
            <w:tcW w:w="54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气化车间</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1.安全阀、</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2.工艺操作方面（引氧速率太快、升压速率过快、氮气置换不合格、氧管脱脂吹扫不干净、导气速率过快、炉温不足）</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3.操作工艺指标发生偏离，未及时调整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4.投料过程无关人员进入现场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5.排水管线堵塞</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6.操作人员未严格执行操作规程、开车票制度</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8.装置框架、基础、地面发生塌陷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9.阀门（远程控制）、自动控制系统、视频监控系统故障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10.压力、液位等信息的不间断采集和监测系统与紧急自动停车系统故障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12.有毒、可燃气体报警装置故障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14.机泵故障发生泄漏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jc w:val="left"/>
        <w:rPr>
          <w:lang w:val="en-US" w:eastAsia="zh-CN"/>
        </w:rPr>
      </w:pPr>
    </w:p>
    <w:tbl>
      <w:tblPr>
        <w:tblStyle w:val="9"/>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危险作业活动</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7</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甲醇装车作业</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装车平台</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1.装车操作人员未引导车辆按照行车路线行驶</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2.操作人员未对车辆、人员进行安全检查</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3.操作人员人员未执行装车操作规程</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4.装卸区域内使用非防爆通讯器材</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6.汽车罐体、</w:t>
            </w:r>
            <w: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装卸口、管道</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w:t>
            </w:r>
            <w: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法兰泄漏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7.装车操作平台、地面发生塌陷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10.自动控制系统、紧急自动切断系统、车辆静电接地释放器故障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许令奇、郭勇</w:t>
            </w:r>
          </w:p>
        </w:tc>
      </w:tr>
    </w:tbl>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pPr>
    </w:p>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sectPr>
          <w:footerReference r:id="rId6" w:type="default"/>
          <w:pgSz w:w="16783" w:h="11850" w:orient="landscape"/>
          <w:pgMar w:top="1157" w:right="1803" w:bottom="1440" w:left="1701" w:header="851" w:footer="992" w:gutter="0"/>
          <w:cols w:space="0" w:num="1"/>
          <w:docGrid w:type="lines" w:linePitch="312" w:charSpace="0"/>
        </w:sectPr>
      </w:pPr>
    </w:p>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西北能化公司风险分级管控作业指导书</w:t>
      </w:r>
    </w:p>
    <w:p>
      <w:pPr>
        <w:jc w:val="center"/>
        <w:rPr>
          <w:rFonts w:hint="eastAsia" w:ascii="仿宋_GB2312" w:hAnsi="仿宋_GB2312" w:eastAsia="仿宋_GB2312" w:cs="仿宋_GB2312"/>
          <w:b/>
          <w:bCs/>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20" w:firstLineChars="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本指导书规定了</w:t>
      </w:r>
      <w:r>
        <w:rPr>
          <w:rFonts w:hint="eastAsia" w:ascii="仿宋" w:hAnsi="仿宋" w:eastAsia="仿宋" w:cs="仿宋"/>
          <w:sz w:val="30"/>
          <w:szCs w:val="30"/>
          <w:lang w:val="en-US" w:eastAsia="zh-CN"/>
        </w:rPr>
        <w:t>鄂尔多斯市西北能化有限责任公司</w:t>
      </w:r>
      <w:r>
        <w:rPr>
          <w:rFonts w:hint="eastAsia" w:ascii="仿宋" w:hAnsi="仿宋" w:eastAsia="仿宋" w:cs="仿宋"/>
          <w:sz w:val="30"/>
          <w:szCs w:val="30"/>
        </w:rPr>
        <w:t>风险分级管控体系建设的基本要求。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本指导书适用于指导</w:t>
      </w:r>
      <w:r>
        <w:rPr>
          <w:rFonts w:hint="eastAsia" w:ascii="仿宋" w:hAnsi="仿宋" w:eastAsia="仿宋" w:cs="仿宋"/>
          <w:sz w:val="30"/>
          <w:szCs w:val="30"/>
          <w:lang w:val="en-US" w:eastAsia="zh-CN"/>
        </w:rPr>
        <w:t>鄂尔多斯市西北能化</w:t>
      </w:r>
      <w:r>
        <w:rPr>
          <w:rFonts w:hint="eastAsia" w:ascii="仿宋" w:hAnsi="仿宋" w:eastAsia="仿宋" w:cs="仿宋"/>
          <w:sz w:val="30"/>
          <w:szCs w:val="30"/>
        </w:rPr>
        <w:t>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公司风险分级管控体系的开展。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2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引用文件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《危险化学品企业安全风险隐患排查治理导则》（应急〔2019〕78号）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《国务院安委会办公室关于实施遏制重特大事故工作指南构建双重预防机制的意见》（安委办〔2016〕11号）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《危险化学品从业单位安全标准化通用规范》（AQ 3013-2008）</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《关于加强化工过程安全管理的知道意见》（安监总管三〔2013〕88号）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《企业职工伤亡事故分类标准》（GB 6441-1986）</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《生产过程危险和有害因素分类与代码》（GB/T 13861-2009）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三、术语和定义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default" w:ascii="仿宋" w:hAnsi="仿宋" w:eastAsia="仿宋" w:cs="仿宋"/>
          <w:b/>
          <w:bCs/>
          <w:sz w:val="30"/>
          <w:szCs w:val="30"/>
          <w:lang w:val="en-US" w:eastAsia="zh-CN"/>
        </w:rPr>
        <w:t>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生产安全事故或健康损害事件发生的可能性和严重性的组合。可能性，是指事故（事件）发生的概率。严重性，是指事故（事件）一旦发生后，将造成的人员伤害和经济损失的严重程度。风险=可能性×严重性。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default" w:ascii="仿宋" w:hAnsi="仿宋" w:eastAsia="仿宋" w:cs="仿宋"/>
          <w:b/>
          <w:bCs/>
          <w:sz w:val="30"/>
          <w:szCs w:val="30"/>
          <w:lang w:val="en-US" w:eastAsia="zh-CN"/>
        </w:rPr>
        <w:t>可接受风险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根据企业法律义务和职业健康安全方针已被企业降至可容许程度的风险。</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3.</w:t>
      </w:r>
      <w:r>
        <w:rPr>
          <w:rFonts w:hint="default" w:ascii="仿宋" w:hAnsi="仿宋" w:eastAsia="仿宋" w:cs="仿宋"/>
          <w:b/>
          <w:bCs/>
          <w:sz w:val="30"/>
          <w:szCs w:val="30"/>
          <w:lang w:val="en-US" w:eastAsia="zh-CN"/>
        </w:rPr>
        <w:t>重大风险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发生事故可能性与事故后果二者结合后风险值被认定为重大的风险类型。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4.</w:t>
      </w:r>
      <w:r>
        <w:rPr>
          <w:rFonts w:hint="default" w:ascii="仿宋" w:hAnsi="仿宋" w:eastAsia="仿宋" w:cs="仿宋"/>
          <w:b/>
          <w:bCs/>
          <w:sz w:val="30"/>
          <w:szCs w:val="30"/>
          <w:lang w:val="en-US" w:eastAsia="zh-CN"/>
        </w:rPr>
        <w:t>危险源</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可能导致人身伤害和（或）健康损害和（或）财产损失的根源、状态或行为，或它们的组合。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5.</w:t>
      </w:r>
      <w:r>
        <w:rPr>
          <w:rFonts w:hint="default" w:ascii="仿宋" w:hAnsi="仿宋" w:eastAsia="仿宋" w:cs="仿宋"/>
          <w:b/>
          <w:bCs/>
          <w:sz w:val="30"/>
          <w:szCs w:val="30"/>
          <w:lang w:val="en-US" w:eastAsia="zh-CN"/>
        </w:rPr>
        <w:t>风险点</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风险伴随的设施、部位、场所和区域，以及在设施、部位、场所和区域实施的伴随风险的作业活动，或以上两者的组合。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6.</w:t>
      </w:r>
      <w:r>
        <w:rPr>
          <w:rFonts w:hint="default" w:ascii="仿宋" w:hAnsi="仿宋" w:eastAsia="仿宋" w:cs="仿宋"/>
          <w:b/>
          <w:bCs/>
          <w:sz w:val="30"/>
          <w:szCs w:val="30"/>
          <w:lang w:val="en-US" w:eastAsia="zh-CN"/>
        </w:rPr>
        <w:t>危险源辨识</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识别危险源的存在并确定其分布和特性的过程。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7.</w:t>
      </w:r>
      <w:r>
        <w:rPr>
          <w:rFonts w:hint="default" w:ascii="仿宋" w:hAnsi="仿宋" w:eastAsia="仿宋" w:cs="仿宋"/>
          <w:b/>
          <w:bCs/>
          <w:sz w:val="30"/>
          <w:szCs w:val="30"/>
          <w:lang w:val="en-US" w:eastAsia="zh-CN"/>
        </w:rPr>
        <w:t>风险评价</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对危险源导致的风险进行分析、评估、分级，对现有控制措施的充分性加以考虑，以及对风险是否可接受予以确定的过程。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8.</w:t>
      </w:r>
      <w:r>
        <w:rPr>
          <w:rFonts w:hint="default" w:ascii="仿宋" w:hAnsi="仿宋" w:eastAsia="仿宋" w:cs="仿宋"/>
          <w:b/>
          <w:bCs/>
          <w:sz w:val="30"/>
          <w:szCs w:val="30"/>
          <w:lang w:val="en-US" w:eastAsia="zh-CN"/>
        </w:rPr>
        <w:t>风险分级</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通过采用科学、合理方法对危险源所伴随的风险进行定性或定量评价，根据评价结果划分等级。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9.</w:t>
      </w:r>
      <w:r>
        <w:rPr>
          <w:rFonts w:hint="default" w:ascii="仿宋" w:hAnsi="仿宋" w:eastAsia="仿宋" w:cs="仿宋"/>
          <w:b/>
          <w:bCs/>
          <w:sz w:val="30"/>
          <w:szCs w:val="30"/>
          <w:lang w:val="en-US" w:eastAsia="zh-CN"/>
        </w:rPr>
        <w:t>风险分级管控</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按照风险不同级别、所需管控资源、管控能力、管控措施复杂及难易程度等因素而确定不同管控层级的风险管控方式。</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10.</w:t>
      </w:r>
      <w:r>
        <w:rPr>
          <w:rFonts w:hint="default" w:ascii="仿宋" w:hAnsi="仿宋" w:eastAsia="仿宋" w:cs="仿宋"/>
          <w:b/>
          <w:bCs/>
          <w:sz w:val="30"/>
          <w:szCs w:val="30"/>
          <w:lang w:val="en-US" w:eastAsia="zh-CN"/>
        </w:rPr>
        <w:t>风险控制措施</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企业为将风险降低至可接受程度，针对该风险而采取的相应控制方法和手段</w:t>
      </w:r>
      <w:r>
        <w:rPr>
          <w:rFonts w:hint="eastAsia" w:ascii="仿宋" w:hAnsi="仿宋" w:eastAsia="仿宋" w:cs="仿宋"/>
          <w:sz w:val="30"/>
          <w:szCs w:val="30"/>
          <w:lang w:val="en-US" w:eastAsia="zh-CN"/>
        </w:rPr>
        <w:t>，应包括工程技术措施、管理措施、培训教育措施、个体防护措施、应急措施。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11.</w:t>
      </w:r>
      <w:r>
        <w:rPr>
          <w:rFonts w:hint="default" w:ascii="仿宋" w:hAnsi="仿宋" w:eastAsia="仿宋" w:cs="仿宋"/>
          <w:b/>
          <w:bCs/>
          <w:sz w:val="30"/>
          <w:szCs w:val="30"/>
          <w:lang w:val="en-US" w:eastAsia="zh-CN"/>
        </w:rPr>
        <w:t>风险信息</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风险点名称、危险源名称、类型、所在位置、当前状态以及伴随风险大小、等级、所需管控措施、责任单位、责任人等一系列信息的综合。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12.</w:t>
      </w:r>
      <w:r>
        <w:rPr>
          <w:rFonts w:hint="default" w:ascii="仿宋" w:hAnsi="仿宋" w:eastAsia="仿宋" w:cs="仿宋"/>
          <w:b/>
          <w:bCs/>
          <w:sz w:val="30"/>
          <w:szCs w:val="30"/>
          <w:lang w:val="en-US" w:eastAsia="zh-CN"/>
        </w:rPr>
        <w:t>风险分级管控清单</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各类风险信息的集合</w:t>
      </w:r>
      <w:r>
        <w:rPr>
          <w:rFonts w:hint="eastAsia" w:ascii="仿宋" w:hAnsi="仿宋" w:eastAsia="仿宋" w:cs="仿宋"/>
          <w:sz w:val="30"/>
          <w:szCs w:val="30"/>
          <w:lang w:val="en-US" w:eastAsia="zh-CN"/>
        </w:rPr>
        <w:t>，建立清单。</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四、组织机构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成立了四级风险评价、管控组织机构，分别为：公司级、部门级、车间级、班组级。</w:t>
      </w:r>
    </w:p>
    <w:p>
      <w:pPr>
        <w:pStyle w:val="2"/>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风险管理组织机构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一、公司级风险评价、管控小组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  长：李 胜、颛孙祖田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副组长：陈争峰、许令奇、郭 勇、张荣江、陈 迎、王昌济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员：各职能部门、车间负责人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领导小组下设办公室，办公室设在安全环保部，安全环保部部长王昌济兼任办公室主任，具体负责安全风险分级管控的管理工作。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二、部门级风险评价、管控小组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长：部 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副组长：副部长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员：车间主任、副主任及部门其他成员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三、车间级风险评价、管控小组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长：车间主任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副组长：车间副主任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员：车间安全员、工艺技术员及班组成员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四、班组级风险评价、管控小组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  长：班组班长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副组长：班组主操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员：班组成员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2" w:name="_Toc1777"/>
      <w:r>
        <w:rPr>
          <w:rFonts w:hint="eastAsia" w:ascii="仿宋" w:hAnsi="仿宋" w:eastAsia="仿宋" w:cs="仿宋"/>
          <w:b/>
          <w:bCs/>
          <w:sz w:val="30"/>
          <w:szCs w:val="30"/>
          <w:lang w:val="en-US" w:eastAsia="zh-CN"/>
        </w:rPr>
        <w:t>五、实施全员培训</w:t>
      </w:r>
      <w:bookmarkEnd w:id="2"/>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制定风险分级管控培训计划，分层次、分阶段培训学习，掌握危险源辨识、风险评价的方法，保留培训记录。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六、风险识别和评价</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（一）风险点确定</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1.风险点划分原则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对装置风险点的划分，应遵循大小适中、便于分类、功能独立、易于管理、范围清晰的原则，可按照生产装置、储存罐区、装卸站台、作业场所等功能分区进行。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操作及作业活动等风险点的划分，应当涵盖生产经营全过程所有常规和非常规状态的作业活动。对于系统或大型机组开、停车，检维修，动火、受限空间等操作难度大、技术含量高、风险等级高、可能导致严重后果的作业活动应进行重点考虑。</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2.风险点排查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应组织对本单位全过程进行风险点排查，形成包括风险点名称、区域位置、可能导致事故类型等内容的基本信息，并建立《风险点登记台账》，为下一步进行风险分析做好准备。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风险点排查应按生产（工作）流程的阶段、场所、装置、设施、作业活动或上述几种方法的结合等进行。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3" w:name="_Toc14007"/>
      <w:r>
        <w:rPr>
          <w:rFonts w:hint="eastAsia" w:ascii="仿宋" w:hAnsi="仿宋" w:eastAsia="仿宋" w:cs="仿宋"/>
          <w:b/>
          <w:bCs/>
          <w:sz w:val="30"/>
          <w:szCs w:val="30"/>
          <w:lang w:val="en-US" w:eastAsia="zh-CN"/>
        </w:rPr>
        <w:t>七、危险源辨识分析</w:t>
      </w:r>
      <w:bookmarkEnd w:id="3"/>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1.危险源辨识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危险源辨识应覆盖风险点内全部设备设施和作业活动，建立《作业活动清单》及《设备设施清单》。宜采用以下几种常用辨识方法：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——对于作业活动，宜采用工作危害分析法（简称JHA）进行辨识；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——对于设备设施，宜采用安全检查表法（简称SCL）进行辨识。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2.危险源辨识范围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范围应包括：规划、设计、建设、投产、运行等阶段；常规和非常规作业活动；事故及潜在的紧急情况；所有进入作业场所人员的活动；原材料、产品的运输和使用过程；作业场所的设施、设备、车辆、安全防护用品；工艺、设备、管理、人员等变更；丢弃、废弃、拆除与处置；气候、地质及环境影响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3.危险源辨识实施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对潜在的人的不安全行为、物的不安全状态、环境缺陷和管理缺陷等危害因素进行辨识，充分考虑危害因素的根源和性质。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辨识危险源也可以从能量和物质的角度进行提示。其中从能量的角度可以考虑机械能、电能、化学能、热能和辐射能等。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4" w:name="_Toc13054"/>
      <w:r>
        <w:rPr>
          <w:rFonts w:hint="eastAsia" w:ascii="仿宋" w:hAnsi="仿宋" w:eastAsia="仿宋" w:cs="仿宋"/>
          <w:b/>
          <w:bCs/>
          <w:sz w:val="30"/>
          <w:szCs w:val="30"/>
          <w:lang w:val="en-US" w:eastAsia="zh-CN"/>
        </w:rPr>
        <w:t>八、风险控制措施</w:t>
      </w:r>
      <w:bookmarkEnd w:id="4"/>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风险控制措施应从工程技术措施、管理措施、培训教育、个体防护、应急处置等方面识别并评估现有控制措施的有效性。现有控制措施不足以控制此项风险，应提出建议或改进的控制措施。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风险控制措施应考虑可行性、可靠性、先进性、安全性、经济合理性、经营运行情况及可靠的技术保证。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设备设施类危险源的控制措施应包括：报警、联锁、安全阀、液位、温度、压力等工艺设备本身带有的控制措施和消防、检查、检验等常规的管理措施。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作业活动类危险源的控制措施应包括：制度完备性、管理流程合理性、作业环境可控性、作业对象完好状态及作业人员素质等方面。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不同级别的风险要结合实际采取一种或多种措施进行控制，直至风险可以接受。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风险控制措施在实施前应组织评审。</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5" w:name="_Toc14837"/>
      <w:r>
        <w:rPr>
          <w:rFonts w:hint="eastAsia" w:ascii="仿宋" w:hAnsi="仿宋" w:eastAsia="仿宋" w:cs="仿宋"/>
          <w:b/>
          <w:bCs/>
          <w:sz w:val="30"/>
          <w:szCs w:val="30"/>
          <w:lang w:val="en-US" w:eastAsia="zh-CN"/>
        </w:rPr>
        <w:t>九、风险评价</w:t>
      </w:r>
      <w:bookmarkEnd w:id="5"/>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（一）风险评价方法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选择风险矩阵分析法（LS法），针对辨识的危险源潜在的风险进行定性、定量评价，并填写工作危害分析评价记录和安全检查表分析评价记录。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（二）风险评价准则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制定风险评价准则时应结合生产特点，并充分考虑以下要求：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——有关安全生产法律、法规；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——设计规范、技术标准；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——公司的安全管理、技术标准；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——公司的安全生产方针和目标等；</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——相关方的诉求等。</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对风险点和各类危险源进行风险评价时，应考虑人、财产和环境等三个方面存在的可能性和后果严重程度的影响，并结合生产特点和自身实际，明确事故（事件）发生的可能性、严重性和风险度取值标准，确定风险判定准则，进行风险分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1.风险分级标准：</w:t>
      </w:r>
    </w:p>
    <w:tbl>
      <w:tblPr>
        <w:tblStyle w:val="9"/>
        <w:tblW w:w="9855"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5"/>
        <w:gridCol w:w="2040"/>
        <w:gridCol w:w="1995"/>
        <w:gridCol w:w="187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2145" w:type="dxa"/>
            <w:noWrap w:val="0"/>
            <w:vAlign w:val="top"/>
          </w:tcPr>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-4445</wp:posOffset>
                      </wp:positionV>
                      <wp:extent cx="1322705" cy="836295"/>
                      <wp:effectExtent l="3175" t="5080" r="7620" b="15875"/>
                      <wp:wrapNone/>
                      <wp:docPr id="3" name="直接连接符 3"/>
                      <wp:cNvGraphicFramePr/>
                      <a:graphic xmlns:a="http://schemas.openxmlformats.org/drawingml/2006/main">
                        <a:graphicData uri="http://schemas.microsoft.com/office/word/2010/wordprocessingShape">
                          <wps:wsp>
                            <wps:cNvCnPr/>
                            <wps:spPr>
                              <a:xfrm>
                                <a:off x="664210" y="7652385"/>
                                <a:ext cx="1322705" cy="8362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4pt;margin-top:-0.35pt;height:65.85pt;width:104.15pt;z-index:251658240;mso-width-relative:page;mso-height-relative:page;" filled="f" stroked="t" coordsize="21600,21600" o:gfxdata="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YShNgAAAAIAQAADwAAAAAAAAABACAAAAAiAAAAZHJzL2Rvd25yZXYueG1sUEsB&#10;AhQAFAAAAAgAh07iQPsP+4v1AQAAwgMAAA4AAAAAAAAAAQAgAAAAJwEAAGRycy9lMm9Eb2MueG1s&#10;UEsFBgAAAAAGAAYAWQEAAI4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8"/>
                <w:szCs w:val="28"/>
                <w:lang w:eastAsia="zh-CN"/>
              </w:rPr>
              <w:tab/>
            </w:r>
            <w:r>
              <w:rPr>
                <w:rFonts w:hint="eastAsia" w:ascii="仿宋_GB2312" w:hAnsi="仿宋_GB2312" w:eastAsia="仿宋_GB2312" w:cs="仿宋_GB2312"/>
                <w:sz w:val="28"/>
                <w:szCs w:val="28"/>
                <w:lang w:val="en-US" w:eastAsia="zh-CN"/>
              </w:rPr>
              <w:t>风险等级</w:t>
            </w:r>
          </w:p>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判定方法</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LS法</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1级</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2级</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3级</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R范围</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15～16</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9～12</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～8</w:t>
            </w:r>
          </w:p>
        </w:tc>
      </w:tr>
    </w:tbl>
    <w:p>
      <w:pPr>
        <w:pStyle w:val="12"/>
        <w:keepNext w:val="0"/>
        <w:keepLines w:val="0"/>
        <w:pageBreakBefore w:val="0"/>
        <w:kinsoku/>
        <w:wordWrap/>
        <w:overflowPunct/>
        <w:topLinePunct w:val="0"/>
        <w:autoSpaceDE w:val="0"/>
        <w:autoSpaceDN w:val="0"/>
        <w:bidi w:val="0"/>
        <w:adjustRightInd w:val="0"/>
        <w:spacing w:line="380" w:lineRule="exact"/>
        <w:jc w:val="both"/>
        <w:textAlignment w:val="baseline"/>
        <w:rPr>
          <w:rFonts w:hint="eastAsia" w:ascii="仿宋_GB2312" w:hAnsi="仿宋_GB2312" w:eastAsia="仿宋_GB2312" w:cs="仿宋_GB2312"/>
          <w:kern w:val="0"/>
          <w:sz w:val="28"/>
          <w:szCs w:val="28"/>
        </w:rPr>
      </w:pPr>
    </w:p>
    <w:p>
      <w:pPr>
        <w:pStyle w:val="12"/>
        <w:keepNext w:val="0"/>
        <w:keepLines w:val="0"/>
        <w:pageBreakBefore w:val="0"/>
        <w:kinsoku/>
        <w:wordWrap/>
        <w:overflowPunct/>
        <w:topLinePunct w:val="0"/>
        <w:autoSpaceDE w:val="0"/>
        <w:autoSpaceDN w:val="0"/>
        <w:bidi w:val="0"/>
        <w:adjustRightInd w:val="0"/>
        <w:spacing w:line="380" w:lineRule="exact"/>
        <w:jc w:val="both"/>
        <w:textAlignment w:val="baseline"/>
        <w:rPr>
          <w:rFonts w:hint="eastAsia" w:ascii="仿宋_GB2312" w:hAnsi="仿宋_GB2312" w:eastAsia="仿宋_GB2312" w:cs="仿宋_GB2312"/>
          <w:kern w:val="0"/>
          <w:sz w:val="28"/>
          <w:szCs w:val="28"/>
        </w:rPr>
      </w:pPr>
    </w:p>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表1  事件发生的可能性判断准则L</w:t>
      </w:r>
    </w:p>
    <w:tbl>
      <w:tblPr>
        <w:tblStyle w:val="9"/>
        <w:tblW w:w="98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8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等 级</w:t>
            </w:r>
          </w:p>
        </w:tc>
        <w:tc>
          <w:tcPr>
            <w:tcW w:w="897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897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在现场没有采取防范、监测、保护、控制措施，或危害的发生不能被发现（没有监测系统），或在正常情况下经常发生此类事故或事件</w:t>
            </w:r>
            <w:r>
              <w:rPr>
                <w:rFonts w:hint="eastAsia" w:ascii="仿宋_GB2312" w:hAns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897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危害的发生不容易被发现，现场没有检测系统，也未发生过任何监测，或在现场有控制措施，但未有效执行或控制措施不当，或危害常发生或在预期情况下发生。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897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没有保护措施(如没有保护装置、没有个人防护用品等)，或未严格按操作程序执行，或危害的发生容易被发现(现场有监测系统)，或曾经作过监测，或过去曾经发生类似事故或事件，或在异常情况下类似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897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897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有充分、有效的防范、控制、监测、保护措施，或员工安全卫生意识相当高，严格执行操作规程。极不可能发生事故或事件。</w:t>
            </w:r>
          </w:p>
        </w:tc>
      </w:tr>
    </w:tbl>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p>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表2  事件后果严重性S判别准则</w:t>
      </w:r>
    </w:p>
    <w:tbl>
      <w:tblPr>
        <w:tblStyle w:val="10"/>
        <w:tblW w:w="999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910"/>
        <w:gridCol w:w="1680"/>
        <w:gridCol w:w="1185"/>
        <w:gridCol w:w="141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br w:type="page"/>
            </w:r>
            <w:r>
              <w:rPr>
                <w:rFonts w:hint="eastAsia" w:ascii="仿宋_GB2312" w:hAnsi="仿宋_GB2312" w:eastAsia="仿宋_GB2312" w:cs="仿宋_GB2312"/>
                <w:kern w:val="0"/>
                <w:sz w:val="24"/>
                <w:szCs w:val="24"/>
                <w:lang w:val="en-US" w:eastAsia="zh-CN"/>
              </w:rPr>
              <w:t>等级</w:t>
            </w:r>
          </w:p>
        </w:tc>
        <w:tc>
          <w:tcPr>
            <w:tcW w:w="29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法律、法规及其他要求</w:t>
            </w:r>
          </w:p>
        </w:tc>
        <w:tc>
          <w:tcPr>
            <w:tcW w:w="168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人员</w:t>
            </w:r>
          </w:p>
        </w:tc>
        <w:tc>
          <w:tcPr>
            <w:tcW w:w="1185"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 xml:space="preserve">财产损失（万元） </w:t>
            </w:r>
          </w:p>
        </w:tc>
        <w:tc>
          <w:tcPr>
            <w:tcW w:w="14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停工</w:t>
            </w:r>
          </w:p>
        </w:tc>
        <w:tc>
          <w:tcPr>
            <w:tcW w:w="2086"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公司形象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9"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5</w:t>
            </w:r>
          </w:p>
        </w:tc>
        <w:tc>
          <w:tcPr>
            <w:tcW w:w="29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违反法律、法规和标准</w:t>
            </w:r>
          </w:p>
        </w:tc>
        <w:tc>
          <w:tcPr>
            <w:tcW w:w="168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死亡</w:t>
            </w:r>
          </w:p>
        </w:tc>
        <w:tc>
          <w:tcPr>
            <w:tcW w:w="1185"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&gt;50</w:t>
            </w:r>
          </w:p>
        </w:tc>
        <w:tc>
          <w:tcPr>
            <w:tcW w:w="14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全厂停工</w:t>
            </w:r>
          </w:p>
        </w:tc>
        <w:tc>
          <w:tcPr>
            <w:tcW w:w="2086"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全国范围内影响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4</w:t>
            </w:r>
          </w:p>
        </w:tc>
        <w:tc>
          <w:tcPr>
            <w:tcW w:w="29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潜在违反法规和标准</w:t>
            </w:r>
          </w:p>
        </w:tc>
        <w:tc>
          <w:tcPr>
            <w:tcW w:w="168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丧失劳动能力</w:t>
            </w:r>
          </w:p>
        </w:tc>
        <w:tc>
          <w:tcPr>
            <w:tcW w:w="1185"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&gt;25</w:t>
            </w:r>
          </w:p>
        </w:tc>
        <w:tc>
          <w:tcPr>
            <w:tcW w:w="14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2套装置停工、或设备停工</w:t>
            </w:r>
          </w:p>
        </w:tc>
        <w:tc>
          <w:tcPr>
            <w:tcW w:w="2086"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3</w:t>
            </w:r>
          </w:p>
        </w:tc>
        <w:tc>
          <w:tcPr>
            <w:tcW w:w="29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不符合上级公司或行业的安全方针、制度、规定等</w:t>
            </w:r>
          </w:p>
        </w:tc>
        <w:tc>
          <w:tcPr>
            <w:tcW w:w="168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截肢、骨折、听力丧失、慢性病</w:t>
            </w:r>
          </w:p>
        </w:tc>
        <w:tc>
          <w:tcPr>
            <w:tcW w:w="1185"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&gt;10</w:t>
            </w:r>
          </w:p>
        </w:tc>
        <w:tc>
          <w:tcPr>
            <w:tcW w:w="14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1套装置停工或设备</w:t>
            </w:r>
          </w:p>
        </w:tc>
        <w:tc>
          <w:tcPr>
            <w:tcW w:w="2086"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园区内部影响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19"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2</w:t>
            </w:r>
          </w:p>
        </w:tc>
        <w:tc>
          <w:tcPr>
            <w:tcW w:w="29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不符合公司的安全操作程序、规定</w:t>
            </w:r>
          </w:p>
        </w:tc>
        <w:tc>
          <w:tcPr>
            <w:tcW w:w="168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轻微受伤、间歇不舒服</w:t>
            </w:r>
          </w:p>
        </w:tc>
        <w:tc>
          <w:tcPr>
            <w:tcW w:w="1185"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&lt;10</w:t>
            </w:r>
          </w:p>
        </w:tc>
        <w:tc>
          <w:tcPr>
            <w:tcW w:w="14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受影响不大，几乎不停工</w:t>
            </w:r>
          </w:p>
        </w:tc>
        <w:tc>
          <w:tcPr>
            <w:tcW w:w="2086"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公司内部影响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9"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1</w:t>
            </w:r>
          </w:p>
        </w:tc>
        <w:tc>
          <w:tcPr>
            <w:tcW w:w="29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完全符合</w:t>
            </w:r>
          </w:p>
        </w:tc>
        <w:tc>
          <w:tcPr>
            <w:tcW w:w="168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无伤亡</w:t>
            </w:r>
          </w:p>
        </w:tc>
        <w:tc>
          <w:tcPr>
            <w:tcW w:w="1185"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无损失</w:t>
            </w:r>
          </w:p>
        </w:tc>
        <w:tc>
          <w:tcPr>
            <w:tcW w:w="1410"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没有停工</w:t>
            </w:r>
          </w:p>
        </w:tc>
        <w:tc>
          <w:tcPr>
            <w:tcW w:w="2086" w:type="dxa"/>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没有受损</w:t>
            </w:r>
          </w:p>
        </w:tc>
      </w:tr>
    </w:tbl>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p>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表3 风险等级判定准则及控制措施R</w:t>
      </w:r>
    </w:p>
    <w:tbl>
      <w:tblPr>
        <w:tblStyle w:val="9"/>
        <w:tblW w:w="10095" w:type="dxa"/>
        <w:tblInd w:w="-7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320"/>
        <w:gridCol w:w="6165"/>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风险度</w:t>
            </w:r>
          </w:p>
        </w:tc>
        <w:tc>
          <w:tcPr>
            <w:tcW w:w="132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等级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应采取的行动/控制措施</w:t>
            </w:r>
          </w:p>
        </w:tc>
        <w:tc>
          <w:tcPr>
            <w:tcW w:w="162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实施期限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20-25</w:t>
            </w:r>
          </w:p>
        </w:tc>
        <w:tc>
          <w:tcPr>
            <w:tcW w:w="132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重大风险</w:t>
            </w:r>
          </w:p>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jc w:val="left"/>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采取紧急措施降低风险，主要从工程措施</w:t>
            </w:r>
            <w:r>
              <w:rPr>
                <w:rFonts w:hint="eastAsia" w:ascii="仿宋_GB2312" w:hAnsi="仿宋_GB2312" w:eastAsia="仿宋_GB2312" w:cs="仿宋_GB2312"/>
                <w:kern w:val="0"/>
                <w:sz w:val="24"/>
                <w:szCs w:val="24"/>
              </w:rPr>
              <w:t>工程控制措施、管理控制措施、培训教育措施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个体防护措施、应急措施</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rPr>
              <w:t>方面</w:t>
            </w:r>
            <w:r>
              <w:rPr>
                <w:rFonts w:hint="eastAsia" w:ascii="仿宋_GB2312" w:hAnsi="仿宋_GB2312" w:eastAsia="仿宋_GB2312" w:cs="仿宋_GB2312"/>
                <w:kern w:val="0"/>
                <w:sz w:val="24"/>
                <w:szCs w:val="24"/>
                <w:lang w:eastAsia="zh-CN"/>
              </w:rPr>
              <w:t>考虑；</w:t>
            </w:r>
            <w:r>
              <w:rPr>
                <w:rFonts w:hint="eastAsia" w:ascii="仿宋_GB2312" w:hAnsi="仿宋_GB2312" w:eastAsia="仿宋_GB2312" w:cs="仿宋_GB2312"/>
                <w:kern w:val="0"/>
                <w:sz w:val="24"/>
                <w:szCs w:val="24"/>
                <w:lang w:val="en-US" w:eastAsia="zh-CN"/>
              </w:rPr>
              <w:t>对改进措施进行评估</w:t>
            </w:r>
          </w:p>
        </w:tc>
        <w:tc>
          <w:tcPr>
            <w:tcW w:w="162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立即整改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15-16</w:t>
            </w:r>
          </w:p>
        </w:tc>
        <w:tc>
          <w:tcPr>
            <w:tcW w:w="132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较大风险</w:t>
            </w:r>
          </w:p>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采取紧急措施降低风险，主要从工程措施</w:t>
            </w:r>
            <w:r>
              <w:rPr>
                <w:rFonts w:hint="eastAsia" w:ascii="仿宋_GB2312" w:hAnsi="仿宋_GB2312" w:eastAsia="仿宋_GB2312" w:cs="仿宋_GB2312"/>
                <w:kern w:val="0"/>
                <w:sz w:val="24"/>
                <w:szCs w:val="24"/>
              </w:rPr>
              <w:t>工程控制措施、管理控制措施、培训教育措施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个体防护</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rPr>
              <w:t>方面</w:t>
            </w:r>
            <w:r>
              <w:rPr>
                <w:rFonts w:hint="eastAsia" w:ascii="仿宋_GB2312" w:hAnsi="仿宋_GB2312" w:eastAsia="仿宋_GB2312" w:cs="仿宋_GB2312"/>
                <w:kern w:val="0"/>
                <w:sz w:val="24"/>
                <w:szCs w:val="24"/>
                <w:lang w:eastAsia="zh-CN"/>
              </w:rPr>
              <w:t>先行控制</w:t>
            </w:r>
          </w:p>
        </w:tc>
        <w:tc>
          <w:tcPr>
            <w:tcW w:w="162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立即或一个季度内治理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9-12</w:t>
            </w:r>
          </w:p>
        </w:tc>
        <w:tc>
          <w:tcPr>
            <w:tcW w:w="132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一般风险</w:t>
            </w:r>
          </w:p>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可考虑建立目标、建立操作规程，加强培训及沟通</w:t>
            </w:r>
          </w:p>
        </w:tc>
        <w:tc>
          <w:tcPr>
            <w:tcW w:w="162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1年内治理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1320"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低风险</w:t>
            </w:r>
          </w:p>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可考虑建立操作规程、作业指导书但需定期检查无需采用控制措施，但需保存记录</w:t>
            </w:r>
          </w:p>
        </w:tc>
        <w:tc>
          <w:tcPr>
            <w:tcW w:w="162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有条件、有经费时治理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2.风险矩阵</w:t>
      </w:r>
    </w:p>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表4 风险矩阵表</w:t>
      </w:r>
    </w:p>
    <w:tbl>
      <w:tblPr>
        <w:tblStyle w:val="9"/>
        <w:tblpPr w:leftFromText="180" w:rightFromText="180" w:vertAnchor="text" w:horzAnchor="page" w:tblpX="1660" w:tblpY="70"/>
        <w:tblOverlap w:val="never"/>
        <w:tblW w:w="856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22"/>
        <w:gridCol w:w="795"/>
        <w:gridCol w:w="1185"/>
        <w:gridCol w:w="1245"/>
        <w:gridCol w:w="1320"/>
        <w:gridCol w:w="1280"/>
        <w:gridCol w:w="14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restart"/>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事故发生的可能性</w:t>
            </w:r>
          </w:p>
        </w:tc>
        <w:tc>
          <w:tcPr>
            <w:tcW w:w="795" w:type="dxa"/>
            <w:tcBorders>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1185" w:type="dxa"/>
            <w:tcBorders>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highlight w:val="none"/>
                <w:shd w:val="clear" w:color="auto" w:fill="auto"/>
              </w:rPr>
            </w:pPr>
            <w:r>
              <w:rPr>
                <w:rFonts w:hint="eastAsia" w:ascii="仿宋_GB2312" w:hAnsi="仿宋_GB2312" w:eastAsia="仿宋_GB2312" w:cs="仿宋_GB2312"/>
                <w:color w:val="000000"/>
                <w:kern w:val="0"/>
                <w:sz w:val="28"/>
                <w:szCs w:val="28"/>
                <w:highlight w:val="none"/>
                <w:shd w:val="clear" w:color="auto" w:fill="auto"/>
              </w:rPr>
              <w:t>5</w:t>
            </w:r>
          </w:p>
        </w:tc>
        <w:tc>
          <w:tcPr>
            <w:tcW w:w="1245" w:type="dxa"/>
            <w:tcBorders>
              <w:left w:val="nil"/>
              <w:bottom w:val="single" w:color="auto" w:sz="4" w:space="0"/>
              <w:right w:val="single" w:color="auto" w:sz="4" w:space="0"/>
            </w:tcBorders>
            <w:shd w:val="clear" w:color="auto"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320" w:type="dxa"/>
            <w:tcBorders>
              <w:left w:val="nil"/>
              <w:bottom w:val="single" w:color="auto" w:sz="4" w:space="0"/>
              <w:right w:val="single" w:color="auto" w:sz="4" w:space="0"/>
            </w:tcBorders>
            <w:shd w:val="clear" w:color="auto"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80" w:type="dxa"/>
            <w:tcBorders>
              <w:left w:val="nil"/>
              <w:bottom w:val="single" w:color="auto" w:sz="4" w:space="0"/>
              <w:right w:val="single" w:color="auto" w:sz="4" w:space="0"/>
            </w:tcBorders>
            <w:shd w:val="clear" w:color="auto"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1420" w:type="dxa"/>
            <w:tcBorders>
              <w:left w:val="nil"/>
              <w:bottom w:val="single" w:color="auto" w:sz="4" w:space="0"/>
            </w:tcBorders>
            <w:shd w:val="clear" w:color="auto"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32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280" w:type="dxa"/>
            <w:tcBorders>
              <w:top w:val="nil"/>
              <w:left w:val="nil"/>
              <w:bottom w:val="single" w:color="auto" w:sz="4" w:space="0"/>
              <w:right w:val="single" w:color="auto" w:sz="4" w:space="0"/>
            </w:tcBorders>
            <w:shd w:val="clear" w:color="000000"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1420" w:type="dxa"/>
            <w:tcBorders>
              <w:top w:val="nil"/>
              <w:left w:val="nil"/>
              <w:bottom w:val="single" w:color="auto" w:sz="4" w:space="0"/>
            </w:tcBorders>
            <w:shd w:val="clear" w:color="000000"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32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128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420" w:type="dxa"/>
            <w:tcBorders>
              <w:top w:val="nil"/>
              <w:left w:val="nil"/>
              <w:bottom w:val="single" w:color="auto" w:sz="4" w:space="0"/>
            </w:tcBorders>
            <w:shd w:val="clear" w:color="000000"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32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8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420" w:type="dxa"/>
            <w:tcBorders>
              <w:top w:val="nil"/>
              <w:left w:val="nil"/>
              <w:bottom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8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0" w:type="dxa"/>
            <w:tcBorders>
              <w:top w:val="nil"/>
              <w:left w:val="nil"/>
              <w:bottom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2117" w:type="dxa"/>
            <w:gridSpan w:val="2"/>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风险矩阵</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0"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trPr>
        <w:tc>
          <w:tcPr>
            <w:tcW w:w="2117" w:type="dxa"/>
            <w:gridSpan w:val="2"/>
            <w:vMerge w:val="continue"/>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6450" w:type="dxa"/>
            <w:gridSpan w:val="5"/>
            <w:tcBorders>
              <w:top w:val="single" w:color="auto" w:sz="4" w:space="0"/>
              <w:left w:val="nil"/>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事故后果严重程度等级</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6" w:name="_Toc30363"/>
      <w:r>
        <w:rPr>
          <w:rFonts w:hint="eastAsia" w:ascii="仿宋" w:hAnsi="仿宋" w:eastAsia="仿宋" w:cs="仿宋"/>
          <w:b/>
          <w:bCs/>
          <w:sz w:val="30"/>
          <w:szCs w:val="30"/>
          <w:lang w:val="en-US" w:eastAsia="zh-CN"/>
        </w:rPr>
        <w:t>十、风险分级管控</w:t>
      </w:r>
      <w:bookmarkEnd w:id="6"/>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1.管控原则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风险分析评价和风险等级判定时，应对每项控制措施进行评审，确定可行性、有效性。存在缺失、失效的状况，应制定落实改进措施，降低风险。上级负责管控的风险，下级应同时负责管控，逐级落实具体措施。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2.重大风险判定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根据生产特点，除分析判定的风险外，属于以下情况之一的，直接判定为重大风险：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——违反法律、法规及国家标准中强制性条款的；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——发生过死亡、重伤、重大财产损失的事故，且现在发生事故的条件依然存在的；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——根据GB 18218评估为重大危险源的储存场所；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——涉及受限空间等危险特殊作业等同一作业现场9人以上的；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——气化投料开停车作业、非正常工况的操作。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3.风险分级管控实施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风险评价分级后，按照表5风险等级对照表规定的对应原则，划分为重大风险、较大风险、一般风险和低风险，分别用“红橙黄蓝”四种颜色标识，实施分级管控。</w:t>
      </w:r>
    </w:p>
    <w:p>
      <w:pPr>
        <w:pStyle w:val="12"/>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表5 风险分级监管部门和责任部门划分表</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9"/>
        <w:gridCol w:w="1620"/>
        <w:gridCol w:w="1609"/>
        <w:gridCol w:w="1680"/>
        <w:gridCol w:w="1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8" w:type="dxa"/>
            <w:gridSpan w:val="3"/>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风险级别及颜色</w:t>
            </w:r>
          </w:p>
        </w:tc>
        <w:tc>
          <w:tcPr>
            <w:tcW w:w="168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责任单位</w:t>
            </w:r>
          </w:p>
        </w:tc>
        <w:tc>
          <w:tcPr>
            <w:tcW w:w="1964"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监管单位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1级风险</w:t>
            </w:r>
          </w:p>
        </w:tc>
        <w:tc>
          <w:tcPr>
            <w:tcW w:w="162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重大风险</w:t>
            </w:r>
          </w:p>
        </w:tc>
        <w:tc>
          <w:tcPr>
            <w:tcW w:w="160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红色</w:t>
            </w:r>
          </w:p>
        </w:tc>
        <w:tc>
          <w:tcPr>
            <w:tcW w:w="168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公司</w:t>
            </w:r>
          </w:p>
        </w:tc>
        <w:tc>
          <w:tcPr>
            <w:tcW w:w="1964"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2级风险</w:t>
            </w:r>
          </w:p>
        </w:tc>
        <w:tc>
          <w:tcPr>
            <w:tcW w:w="162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较大风险</w:t>
            </w:r>
          </w:p>
        </w:tc>
        <w:tc>
          <w:tcPr>
            <w:tcW w:w="160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橙色</w:t>
            </w:r>
          </w:p>
        </w:tc>
        <w:tc>
          <w:tcPr>
            <w:tcW w:w="168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部门</w:t>
            </w:r>
          </w:p>
        </w:tc>
        <w:tc>
          <w:tcPr>
            <w:tcW w:w="1964"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3级风险</w:t>
            </w:r>
          </w:p>
        </w:tc>
        <w:tc>
          <w:tcPr>
            <w:tcW w:w="162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一般风险</w:t>
            </w:r>
          </w:p>
        </w:tc>
        <w:tc>
          <w:tcPr>
            <w:tcW w:w="160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黄色</w:t>
            </w:r>
          </w:p>
        </w:tc>
        <w:tc>
          <w:tcPr>
            <w:tcW w:w="168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车间</w:t>
            </w:r>
          </w:p>
        </w:tc>
        <w:tc>
          <w:tcPr>
            <w:tcW w:w="1964"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4级风险</w:t>
            </w:r>
          </w:p>
        </w:tc>
        <w:tc>
          <w:tcPr>
            <w:tcW w:w="162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低风险</w:t>
            </w:r>
          </w:p>
        </w:tc>
        <w:tc>
          <w:tcPr>
            <w:tcW w:w="1609"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蓝色</w:t>
            </w:r>
          </w:p>
        </w:tc>
        <w:tc>
          <w:tcPr>
            <w:tcW w:w="1680"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班组</w:t>
            </w:r>
          </w:p>
        </w:tc>
        <w:tc>
          <w:tcPr>
            <w:tcW w:w="1964" w:type="dxa"/>
          </w:tcPr>
          <w:p>
            <w:pPr>
              <w:pStyle w:val="8"/>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车间</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4.编制风险分级管控清单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危险源辨识和风险评价后，应编制风险分级管控清单（包括全部风险点和风险信息），逐级汇总、评审、修订、审核、发布、培训、实现信息有效传递。</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bookmarkStart w:id="7" w:name="_Toc15674"/>
      <w:r>
        <w:rPr>
          <w:rFonts w:hint="eastAsia" w:ascii="仿宋" w:hAnsi="仿宋" w:eastAsia="仿宋" w:cs="仿宋"/>
          <w:b/>
          <w:bCs/>
          <w:sz w:val="30"/>
          <w:szCs w:val="30"/>
          <w:lang w:val="en-US" w:eastAsia="zh-CN"/>
        </w:rPr>
        <w:t>十一、成果与应用</w:t>
      </w:r>
      <w:bookmarkEnd w:id="7"/>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1.档案记录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整保存体现风险管控过程的记录资料，并分类建档管理。至少应包括风险点登记台账、作业活动和设备设施清单、工作危害分析（JHA+LS）和安全检查表分析（SCL+LS）、风险评价会议记录，以及风险分级管控清单、重大风险（不可接受风险）清单等内容的文件化成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2.风险信息应用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结合风险评价的结果将制定的风险控制措施告知内部员工和相关方。对公司员工应进行风险分析结果记录和管控措施的培训，掌握本岗位的风险点包含危险源的风险等级、所需管控措施、责任单位、责任人等信息；对相关方的培训应包括风险点位置、风险等级和管控措施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3.分级管控的效果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通过风险分级管控体系建设，应至少在以下方面有所改进：</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——每一轮风险辨识和评价后，应使原有管控措施得到改进，或者通过增加新的管控措施提高安全可靠性；</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——完善重大风险场所、部位的警示标识；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——员工对所从事岗位的风险有更充分的认识，安全技能和应急处置能力进一步提高；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——保证风险控制措施持续有效的制度得到改进和完善，风险管控能力得到加强；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——根据改进的风险控制措施，完善隐患排查项目清单，使隐患排查工作更有针对性。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4.评审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每季度对风险分级管控体系进行一次系统性评审或更新。根据非常规作业活动、装置或设施等适时开展危险源辨识和风险评价。</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5.更新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主动根据以下情况变化对风险管控的影响，及时针对变化范围开展风险分析，及时更新风险信息：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法规、标准等增减、修订变化所引起风险程度的改变；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发生事故后，有对事故、事件或其他信息的新认识，对相关危险源的再评价；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组织机构发生重大调整；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补充新辨识出的危险源评价；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风险程度变化后，需要对风险控制措施的调整。</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6.沟通</w:t>
      </w:r>
    </w:p>
    <w:p>
      <w:r>
        <w:rPr>
          <w:rFonts w:hint="eastAsia" w:ascii="仿宋" w:hAnsi="仿宋" w:eastAsia="仿宋" w:cs="仿宋"/>
          <w:sz w:val="30"/>
          <w:szCs w:val="30"/>
          <w:lang w:val="en-US" w:eastAsia="zh-CN"/>
        </w:rPr>
        <w:t>建立不同职能和层级间的内部沟通和用于与相关方的外部风险管控沟通机制，及时有效传递风险信息，树立内外部风险管控信心，提高风险管控效果和效率。重大风险信息更新后应及时组织相关人员进行培训。</w:t>
      </w:r>
    </w:p>
    <w:p/>
    <w:p/>
    <w:p/>
    <w:p/>
    <w:p/>
    <w:p/>
    <w:p>
      <w:pPr>
        <w:sectPr>
          <w:footerReference r:id="rId7" w:type="default"/>
          <w:pgSz w:w="11906" w:h="16838"/>
          <w:pgMar w:top="1440" w:right="1800" w:bottom="1440" w:left="1800" w:header="851" w:footer="992" w:gutter="0"/>
          <w:pgNumType w:fmt="numberInDash"/>
          <w:cols w:space="720" w:num="1"/>
          <w:docGrid w:type="lines" w:linePitch="312" w:charSpace="0"/>
        </w:sectPr>
      </w:pPr>
    </w:p>
    <w:p/>
    <w:p/>
    <w:p/>
    <w:sectPr>
      <w:headerReference r:id="rId8" w:type="default"/>
      <w:footerReference r:id="rId9" w:type="default"/>
      <w:pgSz w:w="16838" w:h="11906" w:orient="landscape"/>
      <w:pgMar w:top="1797" w:right="1531" w:bottom="179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5851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851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C9B3F"/>
    <w:multiLevelType w:val="singleLevel"/>
    <w:tmpl w:val="E2FC9B3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C4541"/>
    <w:rsid w:val="2F6C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firstLine="200" w:firstLineChars="200"/>
    </w:pPr>
    <w:rPr>
      <w:rFonts w:ascii="Calibri" w:hAnsi="Calibri"/>
    </w:rPr>
  </w:style>
  <w:style w:type="paragraph" w:customStyle="1" w:styleId="3">
    <w:name w:val="BodyTextIndent"/>
    <w:basedOn w:val="1"/>
    <w:next w:val="4"/>
    <w:qFormat/>
    <w:uiPriority w:val="0"/>
    <w:pPr>
      <w:spacing w:after="120"/>
      <w:ind w:left="200" w:leftChars="200"/>
      <w:textAlignment w:val="baseline"/>
    </w:pPr>
    <w:rPr>
      <w:rFonts w:ascii="Times New Roman" w:hAnsi="Times New Roman" w:eastAsia="宋体"/>
      <w:szCs w:val="24"/>
    </w:rPr>
  </w:style>
  <w:style w:type="paragraph" w:customStyle="1" w:styleId="4">
    <w:name w:val="NormalIndent"/>
    <w:basedOn w:val="1"/>
    <w:qFormat/>
    <w:uiPriority w:val="0"/>
    <w:pPr>
      <w:ind w:firstLine="200" w:firstLineChars="200"/>
      <w:textAlignment w:val="baseline"/>
    </w:pPr>
    <w:rPr>
      <w:rFonts w:ascii="Times New Roman" w:hAnsi="Times New Roman" w:eastAsia="仿宋"/>
      <w:sz w:val="32"/>
      <w:szCs w:val="24"/>
    </w:rPr>
  </w:style>
  <w:style w:type="paragraph" w:styleId="5">
    <w:name w:val="Plain Text"/>
    <w:basedOn w:val="1"/>
    <w:semiHidden/>
    <w:unhideWhenUsed/>
    <w:qFormat/>
    <w:uiPriority w:val="99"/>
    <w:rPr>
      <w:rFonts w:ascii="宋体" w:hAnsi="Courier New" w:eastAsia="宋体" w:cs="Times New Roman"/>
      <w:sz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line="360" w:lineRule="auto"/>
      <w:ind w:firstLine="0" w:firstLineChars="0"/>
      <w:jc w:val="center"/>
      <w:outlineLvl w:val="1"/>
    </w:pPr>
    <w:rPr>
      <w:rFonts w:ascii="宋体" w:hAnsi="Cambria" w:eastAsia="宋体" w:cs="Times New Roman"/>
      <w:bCs/>
      <w:kern w:val="28"/>
      <w:sz w:val="2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标题"/>
    <w:basedOn w:val="5"/>
    <w:qFormat/>
    <w:uiPriority w:val="0"/>
    <w:pPr>
      <w:ind w:firstLine="0" w:firstLineChars="0"/>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2021-06-17T07:12:00Z</dcterms:created>
  <dc:creator>黑枣儿</dc:creator>
  <cp:lastModifiedBy>黑枣儿</cp:lastModifiedBy>
  <cp:lastPrinted>2021-06-17T08:46:31Z</cp:lastPrinted>
  <dcterms:modified xsi:type="dcterms:W3CDTF">2021-06-17T08:46:46Z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