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77</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关于开展2021年《职业病防治法》宣传周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活动的通知</w:t>
      </w:r>
    </w:p>
    <w:bookmarkEnd w:id="0"/>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2021年4月25日至5月1日是第19个《职业病防治法》宣传周。为深入宣传贯彻《职业病防治法》，进一步落实用人单位主体责任，切实保障劳动者职业健康权益，现就2021年《职业病防治法》宣传周活动有关事项通知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以习近平新时代中国特色社会主义思想为指导，认真贯彻落实党的十九大和十九届二中、三中、四中、五中全会精神，深入学习宣传习近平总书记关于卫生健康工作的一系列重要论述和重要指示批示精神，贯彻落实党中央、国务院关于职业病防治工作的决策部署，以宣传落实《职业病防治法》《健康中国行动（2019-2030年）》为主线，聚焦“中国共产党为人民谋健康100年”主题，广泛开展系列宣传教育活动，普及职业病防治知识，树立职业健康理念，推动落实用人单位、政府有关部门和劳动者的责任，营造全社会关心关注支持职业健康的浓厚氛围，以优异成绩向中国共产党成立100周年献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黑体" w:hAnsi="黑体" w:eastAsia="黑体" w:cs="黑体"/>
          <w:b w:val="0"/>
          <w:bCs/>
          <w:color w:val="000000"/>
          <w:sz w:val="32"/>
          <w:szCs w:val="32"/>
          <w:lang w:val="en-US" w:eastAsia="zh-CN"/>
        </w:rPr>
        <w:t>二、活动主题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共创健康中国，共享职业健康。</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黑体" w:hAnsi="黑体" w:eastAsia="黑体" w:cs="黑体"/>
          <w:b w:val="0"/>
          <w:bCs/>
          <w:color w:val="000000"/>
          <w:sz w:val="32"/>
          <w:szCs w:val="32"/>
          <w:lang w:val="en-US" w:eastAsia="zh-CN"/>
        </w:rPr>
        <w:t>三、活动内容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宣传周期间，为响应国家卫生健康委、民政部、人力资源社会保障部、国家医疗保障局、全国总工会等部门将联合举办《职业病防治法》宣传周启动仪式及相关宣传活动。我单位各有关部门和单位要紧密结合实际，采取线上线下相结合的方式，广泛开展宣传周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（一）着重围绕中国共产党成立100周年主题开展宣传活动。</w:t>
      </w:r>
      <w:r>
        <w:rPr>
          <w:rFonts w:hint="default" w:ascii="仿宋_GB2312" w:hAnsi="仿宋_GB2312" w:eastAsia="仿宋_GB2312" w:cs="仿宋_GB2312"/>
          <w:b w:val="0"/>
          <w:bCs/>
          <w:color w:val="000000"/>
          <w:sz w:val="32"/>
          <w:szCs w:val="32"/>
          <w:lang w:val="en-US" w:eastAsia="zh-CN"/>
        </w:rPr>
        <w:t>各单位要紧扣建党百年主线，将宣传周活动与庆祝建党百年活动结合起来，与党史学习教育结合起来，与宣传推广健康企业经验和职业健康达人事迹结合起来，通过现场宣讲、故事分享、视频、图文展览等方式，回顾中国共产党为人民谋幸福、为中华民族谋复兴所走过的百年奋斗历程，大力宣传中国共产党对广大劳动者职业健康的关心和关怀，特别要宣传好党的十八大以来习近平总书记关于做好职业病防治工作、保障劳动者健康权益的重要指示批示精神和党中央、国务院重大决策部署，充分展示职业健康事业取得的重大成就，切实增强广大劳动者的职业健康获得感和幸福感。</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（二）面向重点人群开展系列宣传活动。</w:t>
      </w:r>
      <w:r>
        <w:rPr>
          <w:rFonts w:hint="default" w:ascii="仿宋_GB2312" w:hAnsi="仿宋_GB2312" w:eastAsia="仿宋_GB2312" w:cs="仿宋_GB2312"/>
          <w:b w:val="0"/>
          <w:bCs/>
          <w:color w:val="000000"/>
          <w:sz w:val="32"/>
          <w:szCs w:val="32"/>
          <w:lang w:val="en-US" w:eastAsia="zh-CN"/>
        </w:rPr>
        <w:t>各单位要采取多种形式，深入开展职业健康知识宣传活动，引导职工了解职业危害，树立职业健康意识，提升职业健康素养水平。</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（三）积极利用新媒体开展线上宣传活动。</w:t>
      </w:r>
      <w:r>
        <w:rPr>
          <w:rFonts w:hint="default" w:ascii="仿宋_GB2312" w:hAnsi="仿宋_GB2312" w:eastAsia="仿宋_GB2312" w:cs="仿宋_GB2312"/>
          <w:b w:val="0"/>
          <w:bCs/>
          <w:color w:val="000000"/>
          <w:sz w:val="32"/>
          <w:szCs w:val="32"/>
          <w:lang w:val="en-US" w:eastAsia="zh-CN"/>
        </w:rPr>
        <w:t>各单位充分运用“视频、客户端、QQ”等各类媒体平台，组织职业病防治知识网上培训、知识竞赛、网络展览等活动，通过图解、动漫、短视频、公益广告等形式加大网上宣传力度，宣传和使用推荐宣传用语、宣传海报（见附件），广泛宣传用人单位职业病防治责任、劳动者职业健康权益，以及职业病诊断鉴定、工伤保险、医疗保障、生活救助法规政策等内容，努力让职业健康知识和技能成为劳动者必备的健康素养，为全方位、全周期保障职工职业健康奠定坚实基础。</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四、活动要求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（一）高度重视，加强组织领导。</w:t>
      </w:r>
      <w:r>
        <w:rPr>
          <w:rFonts w:hint="default" w:ascii="仿宋_GB2312" w:hAnsi="仿宋_GB2312" w:eastAsia="仿宋_GB2312" w:cs="仿宋_GB2312"/>
          <w:b w:val="0"/>
          <w:bCs/>
          <w:color w:val="000000"/>
          <w:sz w:val="32"/>
          <w:szCs w:val="32"/>
          <w:lang w:val="en-US" w:eastAsia="zh-CN"/>
        </w:rPr>
        <w:t>各单位要充分认识开展《职业病防治法》宣传周活动的重要意义，切实加强组织领导，制定具体活动方案，保障所需经费，确保宣传活动顺利开展。把宣传周活动作为预防、控制和消除职业病危害，加强职业健康管理，保护劳动者健康的重要内容，大力开展具有本单位、本车间特色的宣传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（二）广泛发动，形成工作合力。</w:t>
      </w:r>
      <w:r>
        <w:rPr>
          <w:rFonts w:hint="default" w:ascii="仿宋_GB2312" w:hAnsi="仿宋_GB2312" w:eastAsia="仿宋_GB2312" w:cs="仿宋_GB2312"/>
          <w:b w:val="0"/>
          <w:bCs/>
          <w:color w:val="000000"/>
          <w:sz w:val="32"/>
          <w:szCs w:val="32"/>
          <w:lang w:val="en-US" w:eastAsia="zh-CN"/>
        </w:rPr>
        <w:t>各单位要加强组织协调，充分调动广大职工参与，要充分发挥各基层单位联防联控机制作用，推动用人单位认真落实职业病预防主体责任。从事职业病防治工作的职工做好个体防护并积极为宣传周活动提供支持。开展活动时，要结合当地疫情形势落实好各项防控措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（三）加强宣传，做好信息报送。</w:t>
      </w:r>
      <w:r>
        <w:rPr>
          <w:rFonts w:hint="default" w:ascii="仿宋_GB2312" w:hAnsi="仿宋_GB2312" w:eastAsia="仿宋_GB2312" w:cs="仿宋_GB2312"/>
          <w:b w:val="0"/>
          <w:bCs/>
          <w:color w:val="000000"/>
          <w:sz w:val="32"/>
          <w:szCs w:val="32"/>
          <w:lang w:val="en-US" w:eastAsia="zh-CN"/>
        </w:rPr>
        <w:t>各单位要认真做好宣传周活动期间典型经验和特色项目的总结，及时报送有关视频、图片和文字等资料，安全环保部将会同综合部加强对各单位开展情况的宣传报道，营造浓厚的舆论氛围。请将活动情况统计表（见附件）及总结于4月28日前报送安全环保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职业健康专员：赵鑫</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电话：0477-2274618</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邮箱：916892930@qq.com</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附件：1.2021年《职业病防治法》宣传周活动情况统计表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2.2021年《职业病防治法》宣传周推荐宣传用语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24</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24</w:t>
      </w:r>
    </w:p>
    <w:p>
      <w:pPr>
        <w:widowControl/>
        <w:spacing w:before="100" w:beforeAutospacing="1" w:after="100" w:afterAutospacing="1"/>
        <w:jc w:val="left"/>
        <w:rPr>
          <w:rFonts w:ascii="宋体" w:hAnsi="宋体" w:eastAsia="宋体" w:cs="宋体"/>
          <w:b/>
          <w:bCs/>
          <w:w w:val="90"/>
          <w:kern w:val="0"/>
          <w:sz w:val="44"/>
          <w:szCs w:val="44"/>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1</w:t>
      </w:r>
    </w:p>
    <w:p>
      <w:pPr>
        <w:widowControl/>
        <w:spacing w:line="600" w:lineRule="exact"/>
        <w:jc w:val="center"/>
        <w:rPr>
          <w:rFonts w:ascii="宋体" w:hAnsi="宋体" w:eastAsia="宋体" w:cs="宋体"/>
          <w:b/>
          <w:bCs/>
          <w:w w:val="90"/>
          <w:kern w:val="0"/>
          <w:sz w:val="44"/>
          <w:szCs w:val="44"/>
        </w:rPr>
      </w:pPr>
      <w:r>
        <w:rPr>
          <w:rFonts w:ascii="宋体" w:hAnsi="宋体" w:eastAsia="宋体" w:cs="宋体"/>
          <w:b/>
          <w:bCs/>
          <w:w w:val="90"/>
          <w:kern w:val="0"/>
          <w:sz w:val="44"/>
          <w:szCs w:val="44"/>
        </w:rPr>
        <w:t>2</w:t>
      </w:r>
      <w:r>
        <w:rPr>
          <w:rFonts w:ascii="宋体" w:hAnsi="宋体" w:eastAsia="宋体" w:cs="宋体"/>
          <w:b/>
          <w:bCs/>
          <w:spacing w:val="-4"/>
          <w:w w:val="90"/>
          <w:kern w:val="0"/>
          <w:sz w:val="44"/>
          <w:szCs w:val="44"/>
        </w:rPr>
        <w:t>0</w:t>
      </w:r>
      <w:r>
        <w:rPr>
          <w:rFonts w:hint="eastAsia" w:ascii="宋体" w:hAnsi="宋体" w:eastAsia="仿宋_GB2312" w:cs="宋体"/>
          <w:b/>
          <w:bCs/>
          <w:spacing w:val="-4"/>
          <w:w w:val="90"/>
          <w:kern w:val="0"/>
          <w:sz w:val="44"/>
          <w:szCs w:val="44"/>
          <w:lang w:val="en-US" w:eastAsia="zh-CN"/>
        </w:rPr>
        <w:t>21</w:t>
      </w:r>
      <w:r>
        <w:rPr>
          <w:rFonts w:hint="eastAsia" w:ascii="宋体" w:hAnsi="宋体" w:eastAsia="宋体" w:cs="宋体"/>
          <w:b/>
          <w:bCs/>
          <w:spacing w:val="-4"/>
          <w:w w:val="90"/>
          <w:kern w:val="0"/>
          <w:sz w:val="44"/>
          <w:szCs w:val="44"/>
        </w:rPr>
        <w:t>年《职业病防治法》宣传周活动情况统计表</w:t>
      </w:r>
    </w:p>
    <w:p>
      <w:pPr>
        <w:widowControl/>
        <w:spacing w:line="600" w:lineRule="exact"/>
        <w:jc w:val="left"/>
        <w:rPr>
          <w:rFonts w:hint="eastAsia" w:ascii="仿宋_GB2312" w:hAnsi="宋体" w:eastAsia="仿宋_GB2312" w:cs="宋体"/>
          <w:kern w:val="0"/>
          <w:sz w:val="32"/>
          <w:szCs w:val="32"/>
        </w:rPr>
      </w:pP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w:t>
      </w:r>
      <w:r>
        <w:rPr>
          <w:rFonts w:hint="default" w:ascii="仿宋_GB2312" w:hAnsi="宋体" w:cs="宋体"/>
          <w:kern w:val="0"/>
          <w:sz w:val="32"/>
          <w:szCs w:val="32"/>
        </w:rPr>
        <w:t>(盖章)</w:t>
      </w:r>
      <w:r>
        <w:rPr>
          <w:rFonts w:hint="eastAsia" w:ascii="仿宋_GB2312" w:hAnsi="宋体" w:eastAsia="仿宋_GB2312" w:cs="宋体"/>
          <w:kern w:val="0"/>
          <w:sz w:val="32"/>
          <w:szCs w:val="32"/>
        </w:rPr>
        <w:t>：</w:t>
      </w:r>
    </w:p>
    <w:tbl>
      <w:tblPr>
        <w:tblStyle w:val="6"/>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49"/>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5649"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600" w:lineRule="exact"/>
              <w:jc w:val="center"/>
              <w:rPr>
                <w:rFonts w:ascii="黑体" w:hAnsi="黑体" w:eastAsia="黑体" w:cs="宋体"/>
                <w:kern w:val="0"/>
                <w:sz w:val="24"/>
              </w:rPr>
            </w:pPr>
            <w:r>
              <w:rPr>
                <w:rFonts w:hint="eastAsia" w:ascii="黑体" w:hAnsi="黑体" w:eastAsia="黑体" w:cs="宋体"/>
                <w:kern w:val="0"/>
                <w:sz w:val="30"/>
                <w:szCs w:val="30"/>
              </w:rPr>
              <w:t>形式（次数</w:t>
            </w:r>
            <w:r>
              <w:rPr>
                <w:rFonts w:ascii="黑体" w:hAnsi="黑体" w:eastAsia="黑体" w:cs="宋体"/>
                <w:kern w:val="0"/>
                <w:sz w:val="30"/>
                <w:szCs w:val="30"/>
              </w:rPr>
              <w:t>/</w:t>
            </w:r>
            <w:r>
              <w:rPr>
                <w:rFonts w:hint="eastAsia" w:ascii="黑体" w:hAnsi="黑体" w:eastAsia="黑体" w:cs="宋体"/>
                <w:kern w:val="0"/>
                <w:sz w:val="30"/>
                <w:szCs w:val="30"/>
              </w:rPr>
              <w:t>人数）</w:t>
            </w:r>
          </w:p>
        </w:tc>
        <w:tc>
          <w:tcPr>
            <w:tcW w:w="283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600" w:lineRule="exact"/>
              <w:jc w:val="center"/>
              <w:rPr>
                <w:rFonts w:ascii="黑体" w:hAnsi="黑体" w:eastAsia="黑体" w:cs="宋体"/>
                <w:kern w:val="0"/>
                <w:sz w:val="24"/>
              </w:rPr>
            </w:pPr>
            <w:r>
              <w:rPr>
                <w:rFonts w:hint="eastAsia" w:ascii="黑体" w:hAnsi="黑体" w:eastAsia="黑体" w:cs="宋体"/>
                <w:kern w:val="0"/>
                <w:sz w:val="30"/>
                <w:szCs w:val="3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blCellSpacing w:w="0" w:type="dxa"/>
        </w:trPr>
        <w:tc>
          <w:tcPr>
            <w:tcW w:w="564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开展主题宣讲活动次数</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ascii="宋体" w:hAnsi="宋体" w:eastAsia="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564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开展宣传咨询活动次数</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ascii="宋体" w:hAnsi="宋体" w:eastAsia="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564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开展警示教育活动次数</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ascii="宋体" w:hAnsi="宋体" w:eastAsia="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564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印发宣传材料份数</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ascii="宋体" w:hAnsi="宋体" w:eastAsia="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564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制作宣传视频份数</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ascii="宋体" w:hAnsi="宋体" w:eastAsia="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564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出动宣传人员数</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ascii="宋体" w:hAnsi="宋体" w:eastAsia="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564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宣传受众人数</w:t>
            </w:r>
          </w:p>
        </w:tc>
        <w:tc>
          <w:tcPr>
            <w:tcW w:w="28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500" w:lineRule="exact"/>
              <w:jc w:val="left"/>
              <w:rPr>
                <w:rFonts w:ascii="宋体" w:hAnsi="宋体" w:eastAsia="宋体" w:cs="宋体"/>
                <w:kern w:val="0"/>
                <w:sz w:val="24"/>
              </w:rPr>
            </w:pPr>
          </w:p>
        </w:tc>
      </w:tr>
    </w:tbl>
    <w:p>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联系方式：</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widowControl w:val="0"/>
        <w:wordWrap/>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rPr>
      </w:pPr>
    </w:p>
    <w:p>
      <w:pPr>
        <w:widowControl w:val="0"/>
        <w:wordWrap/>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  月  日</w:t>
      </w: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ascii="黑体" w:hAnsi="黑体" w:eastAsia="黑体" w:cs="Times New Roman"/>
          <w:sz w:val="32"/>
          <w:szCs w:val="32"/>
        </w:rPr>
      </w:pPr>
      <w:r>
        <w:rPr>
          <w:rFonts w:hint="eastAsia" w:ascii="黑体" w:hAnsi="黑体" w:eastAsia="黑体" w:cs="Times New Roman"/>
          <w:sz w:val="32"/>
          <w:szCs w:val="32"/>
        </w:rPr>
        <w:t>附件2</w:t>
      </w:r>
    </w:p>
    <w:p>
      <w:pPr>
        <w:adjustRightInd w:val="0"/>
        <w:snapToGrid w:val="0"/>
        <w:jc w:val="center"/>
        <w:rPr>
          <w:rFonts w:ascii="宋体" w:hAnsi="宋体" w:eastAsia="宋体" w:cs="Times New Roman"/>
          <w:b/>
          <w:sz w:val="44"/>
          <w:szCs w:val="44"/>
        </w:rPr>
      </w:pPr>
    </w:p>
    <w:p>
      <w:pPr>
        <w:adjustRightInd w:val="0"/>
        <w:snapToGrid w:val="0"/>
        <w:jc w:val="center"/>
        <w:rPr>
          <w:rFonts w:hint="eastAsia" w:ascii="宋体" w:hAnsi="宋体" w:eastAsia="宋体" w:cs="Times New Roman"/>
          <w:b/>
          <w:sz w:val="44"/>
          <w:szCs w:val="44"/>
        </w:rPr>
      </w:pPr>
      <w:r>
        <w:rPr>
          <w:rFonts w:hint="eastAsia" w:ascii="宋体" w:hAnsi="宋体" w:eastAsia="宋体" w:cs="Times New Roman"/>
          <w:b/>
          <w:sz w:val="44"/>
          <w:szCs w:val="44"/>
        </w:rPr>
        <w:t>2021年《职业病防治法》宣传周</w:t>
      </w:r>
    </w:p>
    <w:p>
      <w:pPr>
        <w:adjustRightInd w:val="0"/>
        <w:snapToGrid w:val="0"/>
        <w:jc w:val="center"/>
        <w:rPr>
          <w:rFonts w:ascii="宋体" w:hAnsi="宋体" w:eastAsia="宋体" w:cs="Times New Roman"/>
          <w:b/>
          <w:sz w:val="44"/>
          <w:szCs w:val="44"/>
        </w:rPr>
      </w:pPr>
      <w:r>
        <w:rPr>
          <w:rFonts w:hint="eastAsia" w:ascii="宋体" w:hAnsi="宋体" w:eastAsia="宋体" w:cs="Times New Roman"/>
          <w:b/>
          <w:sz w:val="44"/>
          <w:szCs w:val="44"/>
        </w:rPr>
        <w:t>推荐宣传用语</w:t>
      </w:r>
    </w:p>
    <w:p>
      <w:pPr>
        <w:adjustRightInd w:val="0"/>
        <w:snapToGrid w:val="0"/>
        <w:spacing w:line="360" w:lineRule="auto"/>
        <w:ind w:firstLine="643" w:firstLineChars="200"/>
        <w:rPr>
          <w:rFonts w:ascii="仿宋" w:hAnsi="仿宋" w:eastAsia="仿宋" w:cs="Times New Roman"/>
          <w:b/>
          <w:sz w:val="32"/>
          <w:szCs w:val="32"/>
        </w:rPr>
      </w:pP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改善工作环境，保护</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健康</w:t>
      </w:r>
      <w:r>
        <w:rPr>
          <w:rFonts w:hint="default" w:ascii="仿宋_GB2312" w:hAnsi="仿宋_GB2312" w:eastAsia="仿宋_GB2312" w:cs="仿宋_GB2312"/>
          <w:sz w:val="32"/>
          <w:szCs w:val="32"/>
        </w:rPr>
        <w:t>。</w:t>
      </w: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建设健康企业，助力健康中国</w:t>
      </w:r>
      <w:r>
        <w:rPr>
          <w:rFonts w:hint="default" w:ascii="仿宋_GB2312" w:hAnsi="仿宋_GB2312" w:eastAsia="仿宋_GB2312" w:cs="仿宋_GB2312"/>
          <w:sz w:val="32"/>
          <w:szCs w:val="32"/>
        </w:rPr>
        <w:t>。</w:t>
      </w: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共建</w:t>
      </w:r>
      <w:r>
        <w:rPr>
          <w:rFonts w:hint="eastAsia" w:ascii="仿宋_GB2312" w:hAnsi="仿宋_GB2312" w:eastAsia="仿宋_GB2312" w:cs="仿宋_GB2312"/>
          <w:sz w:val="32"/>
          <w:szCs w:val="32"/>
        </w:rPr>
        <w:t>健康企业，</w:t>
      </w:r>
      <w:r>
        <w:rPr>
          <w:rFonts w:hint="eastAsia" w:ascii="仿宋_GB2312" w:hAnsi="仿宋_GB2312" w:eastAsia="仿宋_GB2312" w:cs="仿宋_GB2312"/>
          <w:sz w:val="32"/>
          <w:szCs w:val="32"/>
          <w:lang w:eastAsia="zh-CN"/>
        </w:rPr>
        <w:t>共享职业健康</w:t>
      </w:r>
      <w:r>
        <w:rPr>
          <w:rFonts w:hint="default" w:ascii="仿宋_GB2312" w:hAnsi="仿宋_GB2312" w:eastAsia="仿宋_GB2312" w:cs="仿宋_GB2312"/>
          <w:sz w:val="32"/>
          <w:szCs w:val="32"/>
          <w:lang w:eastAsia="zh-CN"/>
        </w:rPr>
        <w:t>。</w:t>
      </w: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践行职业健康，争做健康达人</w:t>
      </w:r>
      <w:r>
        <w:rPr>
          <w:rFonts w:hint="default" w:ascii="仿宋_GB2312" w:hAnsi="仿宋_GB2312" w:eastAsia="仿宋_GB2312" w:cs="仿宋_GB2312"/>
          <w:sz w:val="32"/>
          <w:szCs w:val="32"/>
        </w:rPr>
        <w:t>。</w:t>
      </w: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健康中国，职业健康在行动</w:t>
      </w:r>
      <w:r>
        <w:rPr>
          <w:rFonts w:hint="default" w:ascii="仿宋_GB2312" w:hAnsi="仿宋_GB2312" w:eastAsia="仿宋_GB2312" w:cs="仿宋_GB2312"/>
          <w:sz w:val="32"/>
          <w:szCs w:val="32"/>
          <w:lang w:eastAsia="zh-CN"/>
        </w:rPr>
        <w:t>。</w:t>
      </w: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岗前岗中离岗时，做好体检保健康</w:t>
      </w:r>
      <w:r>
        <w:rPr>
          <w:rFonts w:hint="default" w:ascii="仿宋_GB2312" w:hAnsi="仿宋_GB2312" w:eastAsia="仿宋_GB2312" w:cs="仿宋_GB2312"/>
          <w:sz w:val="32"/>
          <w:szCs w:val="32"/>
          <w:lang w:eastAsia="zh-CN"/>
        </w:rPr>
        <w:t>。</w:t>
      </w: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启航新征程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构建职业健康发展新格局</w:t>
      </w:r>
      <w:r>
        <w:rPr>
          <w:rFonts w:hint="default" w:ascii="仿宋_GB2312" w:hAnsi="仿宋_GB2312" w:eastAsia="仿宋_GB2312" w:cs="仿宋_GB2312"/>
          <w:sz w:val="32"/>
          <w:szCs w:val="32"/>
          <w:lang w:eastAsia="zh-CN"/>
        </w:rPr>
        <w:t>。</w:t>
      </w: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企业以劳动者为本，劳动者以健康为先</w:t>
      </w:r>
      <w:r>
        <w:rPr>
          <w:rFonts w:hint="default" w:ascii="仿宋_GB2312" w:hAnsi="仿宋_GB2312" w:eastAsia="仿宋_GB2312" w:cs="仿宋_GB2312"/>
          <w:sz w:val="32"/>
          <w:szCs w:val="32"/>
          <w:lang w:eastAsia="zh-CN"/>
        </w:rPr>
        <w:t>。</w:t>
      </w: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健康工作，从我做起</w:t>
      </w:r>
      <w:r>
        <w:rPr>
          <w:rFonts w:hint="default" w:ascii="仿宋_GB2312" w:hAnsi="仿宋_GB2312" w:eastAsia="仿宋_GB2312" w:cs="仿宋_GB2312"/>
          <w:sz w:val="32"/>
          <w:szCs w:val="32"/>
          <w:lang w:eastAsia="zh-CN"/>
        </w:rPr>
        <w:t>。</w:t>
      </w:r>
    </w:p>
    <w:p>
      <w:pPr>
        <w:pStyle w:val="9"/>
        <w:widowControl/>
        <w:numPr>
          <w:ilvl w:val="0"/>
          <w:numId w:val="1"/>
        </w:numPr>
        <w:wordWrap/>
        <w:adjustRightInd w:val="0"/>
        <w:snapToGrid w:val="0"/>
        <w:spacing w:line="60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统筹推进疫情防控，切实保障劳动者健康</w:t>
      </w:r>
      <w:r>
        <w:rPr>
          <w:rFonts w:hint="default" w:ascii="仿宋_GB2312" w:hAnsi="仿宋_GB2312" w:eastAsia="仿宋_GB2312" w:cs="仿宋_GB2312"/>
          <w:sz w:val="32"/>
          <w:szCs w:val="32"/>
        </w:rPr>
        <w:t>。</w:t>
      </w:r>
    </w:p>
    <w:p/>
    <w:p/>
    <w:p/>
    <w:p/>
    <w:sectPr>
      <w:headerReference r:id="rId6" w:type="default"/>
      <w:footerReference r:id="rId7" w:type="default"/>
      <w:pgSz w:w="11906" w:h="16838"/>
      <w:pgMar w:top="1531" w:right="1797" w:bottom="153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C798D"/>
    <w:rsid w:val="6FAC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List Paragraph"/>
    <w:qFormat/>
    <w:uiPriority w:val="0"/>
    <w:pPr>
      <w:widowControl w:val="0"/>
      <w:ind w:firstLine="420" w:firstLineChars="20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2021-05-14T09:32:00Z</dcterms:created>
  <dc:creator>黑枣儿</dc:creator>
  <cp:lastModifiedBy>黑枣儿</cp:lastModifiedBy>
  <dcterms:modified xsi:type="dcterms:W3CDTF">2021-05-14T09:42:46Z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