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安</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76</w:t>
      </w:r>
      <w:r>
        <w:rPr>
          <w:rFonts w:hint="eastAsia" w:ascii="仿宋_GB2312" w:hAnsi="仿宋" w:eastAsia="仿宋_GB2312" w:cs="仿宋"/>
          <w:sz w:val="32"/>
          <w:szCs w:val="32"/>
        </w:rPr>
        <w:t>号</w:t>
      </w:r>
      <w:r>
        <w:rPr>
          <w:rFonts w:hint="eastAsia" w:ascii="仿宋_GB2312" w:hAnsi="仿宋" w:eastAsia="仿宋_GB2312" w:cs="仿宋"/>
          <w:sz w:val="32"/>
          <w:szCs w:val="32"/>
          <w:lang w:val="en-US" w:eastAsia="zh-CN"/>
        </w:rPr>
        <w:t xml:space="preserve">             </w:t>
      </w: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bookmarkStart w:id="0" w:name="_GoBack"/>
      <w:r>
        <w:rPr>
          <w:rFonts w:hint="eastAsia" w:ascii="方正小标宋简体" w:hAnsi="方正小标宋简体" w:eastAsia="方正小标宋简体" w:cs="方正小标宋简体"/>
          <w:b w:val="0"/>
          <w:bCs/>
          <w:color w:val="000000"/>
          <w:sz w:val="44"/>
          <w:szCs w:val="44"/>
          <w:lang w:val="en-US" w:eastAsia="zh-CN"/>
        </w:rPr>
        <w:t>职业病危害防治工作计划实施方案</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为了认真贯彻实施《中华人民共和国职业病防治法》，切实维护广大职工身体健康及合法权益，落实职业病防治的各项措施，及时解决严重影响职工健康、安全的问题，特制定2021年职业病危害防治工作计划实施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sectPr>
          <w:headerReference r:id="rId3" w:type="default"/>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default" w:ascii="仿宋_GB2312" w:hAnsi="仿宋_GB2312" w:eastAsia="仿宋_GB2312" w:cs="仿宋_GB2312"/>
          <w:b w:val="0"/>
          <w:bCs/>
          <w:color w:val="000000"/>
          <w:sz w:val="32"/>
          <w:szCs w:val="32"/>
          <w:lang w:val="en-US" w:eastAsia="zh-CN"/>
        </w:rPr>
        <w:t>深入贯彻落实科学发展观，以保护职工健康为根本目的，认真贯彻落实《职业病防治法》、《工作场所职业卫生监督管理规定》、</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用人单位职业健康监护管理办法》等职业病防治相关法律法规的要求，坚持“预防为主，防治结合”的方针，坚持“分类管理，综合治理”的原则，规范管理，立足公司实际，突出重点，全面推进职业病防治工作，维护公司广大职工的合法权益。根据公司安全生产管理制度，制定2021年职业病防治工作计划实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二、职业危害防治领导小组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组  长：李  胜  颛孙祖田</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副组长：陈争峰、许令奇、郭  勇、张荣江、陈  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王昌济</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成  员：戴  军、任立志、张甫全、武云飞、方仁付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卢  军、王少武、余  顺、陈方悟、曹绪宏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胡振宁、张  蕾、韩  涛、陈四华、丁小龙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920" w:firstLineChars="6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霍爱会、王  涛、赵  辉、靳  雷、周  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领导小组下设安全环保部，安全环保部副总工程师兼任，具体负责各项工作的开展和监督工作。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领导小组职责：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1.组织制定（修订）职业卫生管理制度和操作规程，并督促贯彻执行。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2.根据公司机构设置，明确各部门、人员职责。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3.制定公司年度职业病危害防治计划与方案，并组织施，保证经费的落实和使用。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4.直接领导公司职业病危害防治工作，督促建立公司职业健康管理台帐和档案。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5.组织、督促各部门进行职业病危害防治法规、职业病危害防治知识宣传教育与培训。对职业病危害防治工作有贡献的人员进行表扬、奖励，对违章者、不履行职责者进行批评教育和处罚。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6.定期检查公司和各部门职业危害防治工作开展情况，对查出的问题及时闭环管理，制定整改措施，落实部门按期解决。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7.定期听取各单位、职业健康管理人员、职工关于职业病危害防治有关情况的汇报，及时采取措施。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8.对公司内发生职业危害事故采取应急措施，及时报告，并协助有关部门调查和处理，对有关责任人予以严肃处理。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三、工作目标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认真学习、宣传、贯彻《中华人民共和国职业病防治法》及相关法律、法规，提高全员对职业卫生工作重要性的认识。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全员普及职业病防治法有关知识，开展多种形式的培训教育活动，增强职业危害场所作业人员的责任和权益意识，逐步提高职工职业卫生素质。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加强对职业卫生工作的管理要求，完善职业卫生资料，落实职业卫生各项工作：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（1）健全本单位职业卫生档案，真实反映本单位职业卫生状况，在上年的个人档案管理基础上完善个人职业健康监护档案。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（2）加强职业健康监护工作，确保从事有毒有害作业职工身体健康。按照相关法律要求对从事有害作业职工进行岗前、岗中、岗后健康体检，体检率达到100%。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（3）对存在有职业病危害因素的作业场所进行改造，并及时配备相应的防护用品。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完善公司职业卫生管理体系，按照现行国家法律法规、标准和上级监管部门要求完善职业卫生管理制度和操作规程、制定相应应急救援预案。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强化公司职业危害因素辨识与作业危害场所相应警示标志的制作与挂设。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四、工作计划及实施方案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1</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完善公司职业卫生管理体系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按照现行国家法律法规、标准和上级监管部门要求完善公司职业病危害管理制度等；完善公司涉及职业危害的各岗位职业卫生操作规程；完善公司职业病应急救援体系。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w:t>
      </w:r>
      <w:r>
        <w:rPr>
          <w:rFonts w:hint="default" w:ascii="仿宋_GB2312" w:hAnsi="仿宋_GB2312" w:eastAsia="仿宋_GB2312" w:cs="仿宋_GB2312"/>
          <w:b w:val="0"/>
          <w:bCs/>
          <w:color w:val="000000"/>
          <w:sz w:val="32"/>
          <w:szCs w:val="32"/>
          <w:lang w:val="en-US" w:eastAsia="zh-CN"/>
        </w:rPr>
        <w:t>落实职业病危害防治目标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（1）</w:t>
      </w:r>
      <w:r>
        <w:rPr>
          <w:rFonts w:hint="default" w:ascii="仿宋_GB2312" w:hAnsi="仿宋_GB2312" w:eastAsia="仿宋_GB2312" w:cs="仿宋_GB2312"/>
          <w:b w:val="0"/>
          <w:bCs/>
          <w:color w:val="000000"/>
          <w:sz w:val="32"/>
          <w:szCs w:val="32"/>
          <w:lang w:val="en-US" w:eastAsia="zh-CN"/>
        </w:rPr>
        <w:t xml:space="preserve">严格落实公司职业健康管理目标；急性职业中毒事故为零；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（2）</w:t>
      </w:r>
      <w:r>
        <w:rPr>
          <w:rFonts w:hint="default" w:ascii="仿宋_GB2312" w:hAnsi="仿宋_GB2312" w:eastAsia="仿宋_GB2312" w:cs="仿宋_GB2312"/>
          <w:b w:val="0"/>
          <w:bCs/>
          <w:color w:val="000000"/>
          <w:sz w:val="32"/>
          <w:szCs w:val="32"/>
          <w:lang w:val="en-US" w:eastAsia="zh-CN"/>
        </w:rPr>
        <w:t xml:space="preserve">职业危害申报率达到100%、职业病危害告知率达到100%、职业卫生培训率达到100%、接触职业危害因素作业人员职业健康体检率达100%；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（3）</w:t>
      </w:r>
      <w:r>
        <w:rPr>
          <w:rFonts w:hint="default" w:ascii="仿宋_GB2312" w:hAnsi="仿宋_GB2312" w:eastAsia="仿宋_GB2312" w:cs="仿宋_GB2312"/>
          <w:b w:val="0"/>
          <w:bCs/>
          <w:color w:val="000000"/>
          <w:sz w:val="32"/>
          <w:szCs w:val="32"/>
          <w:lang w:val="en-US" w:eastAsia="zh-CN"/>
        </w:rPr>
        <w:t>工作场所职业病危害因素监测率达到100%，粉尘、毒物、放射性物质等主要危害因素监测合格率达到95%以上。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3</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开展职业卫生知识培训</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按照国家法律法规规定，落实职业卫生管理人员职业卫生培训、取证相关要求。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检测职业危害因素、挂设警示标识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落实现场职业危害因素检测要求，按照制度执行月度检测，保存检测记录并公示；在醒目位置设置公告栏，公布职工职业病防治的规章制度、操作规程、职业危害事故应急救援措施和工作场所职业危害因素监测结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5</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提供个人劳动防护用品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各单位制定劳动用品采购计划，确保劳动用品能够及时发放到职工手中，让职工在劳动生产中有效的保护好自己的身体。劳动防护用品购置费用从安全生产费用中列支。确定合格供应商，采购符合国家规定的劳动防护用品，保证职工劳动防护用品质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6</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职工健康监护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严把新员工入厂体检关。对新入厂职工进行职业健康体检，凡未按要求进行职业健康检查的员工，不予办理上岗手续。严格按照国家《职业健康监护技术规范》GBZ_188-2014及相关法律要求进行2021年在岗职工职业健康体检工作。对离岗职工进行职业健康体检。在30日内对准备脱离所从事职业病危害作业或岗位的职工进行离岗时职业健康检查，并按要求将检查结果告知职工本人。未按要求进行离岗检查的职工，不予办理离岗手续。完善职工职业健康监护档案的建立、管理工作，做到档案符合要求、管理有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7</w:t>
      </w:r>
      <w:r>
        <w:rPr>
          <w:rFonts w:hint="eastAsia" w:ascii="仿宋_GB2312" w:hAnsi="仿宋_GB2312" w:eastAsia="仿宋_GB2312" w:cs="仿宋_GB2312"/>
          <w:b w:val="0"/>
          <w:bCs/>
          <w:color w:val="000000"/>
          <w:sz w:val="32"/>
          <w:szCs w:val="32"/>
          <w:lang w:val="en-US" w:eastAsia="zh-CN"/>
        </w:rPr>
        <w:t>.</w:t>
      </w:r>
      <w:r>
        <w:rPr>
          <w:rFonts w:hint="default" w:ascii="仿宋_GB2312" w:hAnsi="仿宋_GB2312" w:eastAsia="仿宋_GB2312" w:cs="仿宋_GB2312"/>
          <w:b w:val="0"/>
          <w:bCs/>
          <w:color w:val="000000"/>
          <w:sz w:val="32"/>
          <w:szCs w:val="32"/>
          <w:lang w:val="en-US" w:eastAsia="zh-CN"/>
        </w:rPr>
        <w:t>加强职业病诊疗工作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在努力保持公司职工零职业病的前提下，根据职业健康体检报告，对需要复查的职工按照职业健康检查机构要求的时间安排其复查和医学观察；对有职业禁忌职工及时调离或者暂时脱离工作岗位。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五、总结提升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公司安全管理部负责职业危害防治计划的考核与验收，督促并监控各生产单位的职业卫生工作开展。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2021年年底总结本年度职业病危害防治工作，总结成绩与不足，为下一年度职业病危害防治计划与方案的制定提供依据。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3200" w:firstLineChars="100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4</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22</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eastAsia="仿宋_GB2312"/>
          <w:lang w:val="en-US" w:eastAsia="zh-CN"/>
        </w:rPr>
        <w:sectPr>
          <w:footerReference r:id="rId5"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 xml:space="preserve">综合部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4</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22</w:t>
      </w:r>
      <w:r>
        <w:rPr>
          <w:rFonts w:hint="eastAsia" w:ascii="仿宋_GB2312" w:hAnsi="仿宋" w:eastAsia="仿宋_GB2312"/>
          <w:snapToGrid w:val="0"/>
          <w:color w:val="auto"/>
          <w:sz w:val="28"/>
          <w:szCs w:val="28"/>
        </w:rPr>
        <w:t>日印</w:t>
      </w:r>
      <w:r>
        <w:rPr>
          <w:rFonts w:hint="eastAsia" w:ascii="仿宋_GB2312" w:hAnsi="仿宋" w:eastAsia="仿宋_GB2312"/>
          <w:snapToGrid w:val="0"/>
          <w:color w:val="auto"/>
          <w:sz w:val="28"/>
          <w:szCs w:val="28"/>
          <w:lang w:val="en-US" w:eastAsia="zh-CN"/>
        </w:rPr>
        <w:t>发</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附表</w:t>
      </w:r>
    </w:p>
    <w:tbl>
      <w:tblPr>
        <w:tblStyle w:val="6"/>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712"/>
        <w:gridCol w:w="1187"/>
        <w:gridCol w:w="2673"/>
        <w:gridCol w:w="4596"/>
        <w:gridCol w:w="2018"/>
        <w:gridCol w:w="1268"/>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24" w:hRule="atLeast"/>
        </w:trPr>
        <w:tc>
          <w:tcPr>
            <w:tcW w:w="712" w:type="dxa"/>
            <w:tcBorders>
              <w:top w:val="single" w:color="auto" w:sz="4" w:space="0"/>
            </w:tcBorders>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187" w:type="dxa"/>
            <w:tcBorders>
              <w:top w:val="single" w:color="auto" w:sz="4" w:space="0"/>
            </w:tcBorders>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月份</w:t>
            </w:r>
          </w:p>
        </w:tc>
        <w:tc>
          <w:tcPr>
            <w:tcW w:w="2673" w:type="dxa"/>
            <w:tcBorders>
              <w:top w:val="single" w:color="auto" w:sz="4" w:space="0"/>
            </w:tcBorders>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实施内容</w:t>
            </w:r>
          </w:p>
        </w:tc>
        <w:tc>
          <w:tcPr>
            <w:tcW w:w="4596" w:type="dxa"/>
            <w:tcBorders>
              <w:top w:val="single" w:color="auto" w:sz="4" w:space="0"/>
            </w:tcBorders>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具体细则</w:t>
            </w:r>
          </w:p>
        </w:tc>
        <w:tc>
          <w:tcPr>
            <w:tcW w:w="2018" w:type="dxa"/>
            <w:tcBorders>
              <w:top w:val="single" w:color="auto" w:sz="4" w:space="0"/>
            </w:tcBorders>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负责部门</w:t>
            </w:r>
          </w:p>
        </w:tc>
        <w:tc>
          <w:tcPr>
            <w:tcW w:w="1268" w:type="dxa"/>
            <w:tcBorders>
              <w:top w:val="single" w:color="auto" w:sz="4" w:space="0"/>
            </w:tcBorders>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执行方式</w:t>
            </w:r>
          </w:p>
        </w:tc>
        <w:tc>
          <w:tcPr>
            <w:tcW w:w="1127" w:type="dxa"/>
            <w:tcBorders>
              <w:top w:val="single" w:color="auto" w:sz="4" w:space="0"/>
            </w:tcBorders>
            <w:shd w:val="clear" w:color="auto" w:fill="FFFFFF"/>
            <w:noWrap w:val="0"/>
            <w:vAlign w:val="center"/>
          </w:tcPr>
          <w:p>
            <w:pPr>
              <w:bidi w:val="0"/>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712"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187"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1月</w:t>
            </w:r>
          </w:p>
        </w:tc>
        <w:tc>
          <w:tcPr>
            <w:tcW w:w="2673"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下发职业病防治计划及实施方案</w:t>
            </w:r>
          </w:p>
        </w:tc>
        <w:tc>
          <w:tcPr>
            <w:tcW w:w="4596"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安全环保部</w:t>
            </w:r>
            <w:r>
              <w:rPr>
                <w:rFonts w:hint="eastAsia" w:ascii="仿宋_GB2312" w:hAnsi="仿宋_GB2312" w:eastAsia="仿宋_GB2312" w:cs="仿宋_GB2312"/>
                <w:sz w:val="24"/>
                <w:szCs w:val="24"/>
              </w:rPr>
              <w:t>对公司安全、职业卫生统筹计划，并下发文件</w:t>
            </w:r>
          </w:p>
        </w:tc>
        <w:tc>
          <w:tcPr>
            <w:tcW w:w="201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安全环保部</w:t>
            </w:r>
          </w:p>
        </w:tc>
        <w:tc>
          <w:tcPr>
            <w:tcW w:w="126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w:t>
            </w:r>
          </w:p>
        </w:tc>
        <w:tc>
          <w:tcPr>
            <w:tcW w:w="1127" w:type="dxa"/>
            <w:shd w:val="clear" w:color="auto" w:fill="FFFFFF"/>
            <w:noWrap w:val="0"/>
            <w:vAlign w:val="center"/>
          </w:tcPr>
          <w:p>
            <w:pPr>
              <w:bidi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712"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187"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1-12月</w:t>
            </w:r>
          </w:p>
        </w:tc>
        <w:tc>
          <w:tcPr>
            <w:tcW w:w="2673"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职业病危害告知</w:t>
            </w:r>
          </w:p>
        </w:tc>
        <w:tc>
          <w:tcPr>
            <w:tcW w:w="4596"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w:t>
            </w:r>
            <w:r>
              <w:rPr>
                <w:rFonts w:hint="eastAsia" w:ascii="仿宋_GB2312" w:hAnsi="仿宋_GB2312" w:eastAsia="仿宋_GB2312" w:cs="仿宋_GB2312"/>
                <w:sz w:val="24"/>
                <w:szCs w:val="24"/>
                <w:lang w:val="en-US" w:eastAsia="zh-CN"/>
              </w:rPr>
              <w:t>安全环保部</w:t>
            </w:r>
            <w:r>
              <w:rPr>
                <w:rFonts w:hint="eastAsia" w:ascii="仿宋_GB2312" w:hAnsi="仿宋_GB2312" w:eastAsia="仿宋_GB2312" w:cs="仿宋_GB2312"/>
                <w:sz w:val="24"/>
                <w:szCs w:val="24"/>
              </w:rPr>
              <w:t>负责对新入职员工进行职业并危害告知、告知率达到100%</w:t>
            </w:r>
          </w:p>
        </w:tc>
        <w:tc>
          <w:tcPr>
            <w:tcW w:w="201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安全环保部</w:t>
            </w:r>
          </w:p>
        </w:tc>
        <w:tc>
          <w:tcPr>
            <w:tcW w:w="126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w:t>
            </w:r>
          </w:p>
        </w:tc>
        <w:tc>
          <w:tcPr>
            <w:tcW w:w="1127" w:type="dxa"/>
            <w:shd w:val="clear" w:color="auto" w:fill="FFFFFF"/>
            <w:noWrap w:val="0"/>
            <w:vAlign w:val="center"/>
          </w:tcPr>
          <w:p>
            <w:pPr>
              <w:bidi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712"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187"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月</w:t>
            </w:r>
          </w:p>
        </w:tc>
        <w:tc>
          <w:tcPr>
            <w:tcW w:w="2673"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开展职业卫生</w:t>
            </w:r>
            <w:r>
              <w:rPr>
                <w:rFonts w:hint="eastAsia" w:ascii="仿宋_GB2312" w:hAnsi="仿宋_GB2312" w:eastAsia="仿宋_GB2312" w:cs="仿宋_GB2312"/>
                <w:sz w:val="24"/>
                <w:szCs w:val="24"/>
                <w:lang w:val="en-US" w:eastAsia="zh-CN"/>
              </w:rPr>
              <w:t>宣传教育</w:t>
            </w:r>
            <w:r>
              <w:rPr>
                <w:rFonts w:hint="eastAsia" w:ascii="仿宋_GB2312" w:hAnsi="仿宋_GB2312" w:eastAsia="仿宋_GB2312" w:cs="仿宋_GB2312"/>
                <w:sz w:val="24"/>
                <w:szCs w:val="24"/>
              </w:rPr>
              <w:t>培训</w:t>
            </w:r>
          </w:p>
        </w:tc>
        <w:tc>
          <w:tcPr>
            <w:tcW w:w="4596" w:type="dxa"/>
            <w:shd w:val="clear" w:color="auto" w:fill="FFFFFF"/>
            <w:noWrap w:val="0"/>
            <w:tcMar>
              <w:top w:w="0" w:type="dxa"/>
              <w:left w:w="108" w:type="dxa"/>
              <w:bottom w:w="0" w:type="dxa"/>
              <w:right w:w="108" w:type="dxa"/>
            </w:tcMar>
            <w:vAlign w:val="center"/>
          </w:tcPr>
          <w:p>
            <w:pPr>
              <w:bidi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进行全员培训，记录、考试试卷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影像资料等</w:t>
            </w:r>
          </w:p>
        </w:tc>
        <w:tc>
          <w:tcPr>
            <w:tcW w:w="201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安全环保部</w:t>
            </w:r>
          </w:p>
        </w:tc>
        <w:tc>
          <w:tcPr>
            <w:tcW w:w="126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w:t>
            </w:r>
          </w:p>
        </w:tc>
        <w:tc>
          <w:tcPr>
            <w:tcW w:w="1127" w:type="dxa"/>
            <w:shd w:val="clear" w:color="auto" w:fill="FFFFFF"/>
            <w:noWrap w:val="0"/>
            <w:vAlign w:val="top"/>
          </w:tcPr>
          <w:p>
            <w:pPr>
              <w:bidi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712"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187"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1-12月</w:t>
            </w:r>
          </w:p>
        </w:tc>
        <w:tc>
          <w:tcPr>
            <w:tcW w:w="2673"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每季度开展一次</w:t>
            </w:r>
            <w:r>
              <w:rPr>
                <w:rFonts w:hint="eastAsia" w:ascii="仿宋_GB2312" w:hAnsi="仿宋_GB2312" w:eastAsia="仿宋_GB2312" w:cs="仿宋_GB2312"/>
                <w:sz w:val="24"/>
                <w:szCs w:val="24"/>
              </w:rPr>
              <w:t>进行职业卫生检查</w:t>
            </w:r>
          </w:p>
        </w:tc>
        <w:tc>
          <w:tcPr>
            <w:tcW w:w="4596"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安全环保部</w:t>
            </w:r>
            <w:r>
              <w:rPr>
                <w:rFonts w:hint="eastAsia" w:ascii="仿宋_GB2312" w:hAnsi="仿宋_GB2312" w:eastAsia="仿宋_GB2312" w:cs="仿宋_GB2312"/>
                <w:sz w:val="24"/>
                <w:szCs w:val="24"/>
              </w:rPr>
              <w:t>会同相关单位对查出的各类职业病危害隐患，及时整改</w:t>
            </w:r>
          </w:p>
        </w:tc>
        <w:tc>
          <w:tcPr>
            <w:tcW w:w="2018" w:type="dxa"/>
            <w:shd w:val="clear" w:color="auto" w:fill="FFFFFF"/>
            <w:noWrap w:val="0"/>
            <w:tcMar>
              <w:top w:w="0" w:type="dxa"/>
              <w:left w:w="108" w:type="dxa"/>
              <w:bottom w:w="0" w:type="dxa"/>
              <w:right w:w="108" w:type="dxa"/>
            </w:tcMar>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安全环保部</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生产技术部、设备部</w:t>
            </w:r>
          </w:p>
        </w:tc>
        <w:tc>
          <w:tcPr>
            <w:tcW w:w="126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w:t>
            </w:r>
          </w:p>
        </w:tc>
        <w:tc>
          <w:tcPr>
            <w:tcW w:w="1127" w:type="dxa"/>
            <w:shd w:val="clear" w:color="auto" w:fill="FFFFFF"/>
            <w:noWrap w:val="0"/>
            <w:vAlign w:val="top"/>
          </w:tcPr>
          <w:p>
            <w:pPr>
              <w:bidi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24" w:hRule="atLeast"/>
        </w:trPr>
        <w:tc>
          <w:tcPr>
            <w:tcW w:w="712"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87"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每月</w:t>
            </w:r>
          </w:p>
        </w:tc>
        <w:tc>
          <w:tcPr>
            <w:tcW w:w="2673"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职业病危害因素监测</w:t>
            </w:r>
          </w:p>
        </w:tc>
        <w:tc>
          <w:tcPr>
            <w:tcW w:w="4596" w:type="dxa"/>
            <w:shd w:val="clear" w:color="auto" w:fill="FFFFFF"/>
            <w:noWrap w:val="0"/>
            <w:tcMar>
              <w:top w:w="0" w:type="dxa"/>
              <w:left w:w="108" w:type="dxa"/>
              <w:bottom w:w="0" w:type="dxa"/>
              <w:right w:w="108" w:type="dxa"/>
            </w:tcMar>
            <w:vAlign w:val="center"/>
          </w:tcPr>
          <w:p>
            <w:pPr>
              <w:bidi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质检中心</w:t>
            </w:r>
            <w:r>
              <w:rPr>
                <w:rFonts w:hint="eastAsia" w:ascii="仿宋_GB2312" w:hAnsi="仿宋_GB2312" w:eastAsia="仿宋_GB2312" w:cs="仿宋_GB2312"/>
                <w:sz w:val="24"/>
                <w:szCs w:val="24"/>
              </w:rPr>
              <w:t>负责生产</w:t>
            </w:r>
            <w:r>
              <w:rPr>
                <w:rFonts w:hint="eastAsia" w:ascii="仿宋_GB2312" w:hAnsi="仿宋_GB2312" w:eastAsia="仿宋_GB2312" w:cs="仿宋_GB2312"/>
                <w:sz w:val="24"/>
                <w:szCs w:val="24"/>
                <w:lang w:val="en-US" w:eastAsia="zh-CN"/>
              </w:rPr>
              <w:t>区域</w:t>
            </w:r>
            <w:r>
              <w:rPr>
                <w:rFonts w:hint="eastAsia" w:ascii="仿宋_GB2312" w:hAnsi="仿宋_GB2312" w:eastAsia="仿宋_GB2312" w:cs="仿宋_GB2312"/>
                <w:sz w:val="24"/>
                <w:szCs w:val="24"/>
              </w:rPr>
              <w:t>职业病危害因素监测工作，并建立台账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定期报安全环保部</w:t>
            </w:r>
          </w:p>
        </w:tc>
        <w:tc>
          <w:tcPr>
            <w:tcW w:w="201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质检中心</w:t>
            </w:r>
          </w:p>
        </w:tc>
        <w:tc>
          <w:tcPr>
            <w:tcW w:w="126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w:t>
            </w:r>
          </w:p>
        </w:tc>
        <w:tc>
          <w:tcPr>
            <w:tcW w:w="1127" w:type="dxa"/>
            <w:shd w:val="clear" w:color="auto" w:fill="FFFFFF"/>
            <w:noWrap w:val="0"/>
            <w:vAlign w:val="top"/>
          </w:tcPr>
          <w:p>
            <w:pPr>
              <w:bidi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3" w:hRule="atLeast"/>
        </w:trPr>
        <w:tc>
          <w:tcPr>
            <w:tcW w:w="712"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187"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1-12月</w:t>
            </w:r>
          </w:p>
        </w:tc>
        <w:tc>
          <w:tcPr>
            <w:tcW w:w="2673"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及时采购必需的劳保用品，发放至员工本人。</w:t>
            </w:r>
          </w:p>
        </w:tc>
        <w:tc>
          <w:tcPr>
            <w:tcW w:w="4596"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由各</w:t>
            </w:r>
            <w:r>
              <w:rPr>
                <w:rFonts w:hint="eastAsia" w:ascii="仿宋_GB2312" w:hAnsi="仿宋_GB2312" w:eastAsia="仿宋_GB2312" w:cs="仿宋_GB2312"/>
                <w:sz w:val="24"/>
                <w:szCs w:val="24"/>
                <w:lang w:val="en-US" w:eastAsia="zh-CN"/>
              </w:rPr>
              <w:t>部门、</w:t>
            </w:r>
            <w:r>
              <w:rPr>
                <w:rFonts w:hint="eastAsia" w:ascii="仿宋_GB2312" w:hAnsi="仿宋_GB2312" w:eastAsia="仿宋_GB2312" w:cs="仿宋_GB2312"/>
                <w:sz w:val="24"/>
                <w:szCs w:val="24"/>
              </w:rPr>
              <w:t>车间统计需要购置的劳保用品，统一制定计划并发放至员工本人。</w:t>
            </w:r>
          </w:p>
        </w:tc>
        <w:tc>
          <w:tcPr>
            <w:tcW w:w="2018" w:type="dxa"/>
            <w:shd w:val="clear" w:color="auto" w:fill="FFFFFF"/>
            <w:noWrap w:val="0"/>
            <w:tcMar>
              <w:top w:w="0" w:type="dxa"/>
              <w:left w:w="108" w:type="dxa"/>
              <w:bottom w:w="0" w:type="dxa"/>
              <w:right w:w="108" w:type="dxa"/>
            </w:tcMar>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各部门</w:t>
            </w:r>
          </w:p>
        </w:tc>
        <w:tc>
          <w:tcPr>
            <w:tcW w:w="126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w:t>
            </w:r>
          </w:p>
        </w:tc>
        <w:tc>
          <w:tcPr>
            <w:tcW w:w="1127" w:type="dxa"/>
            <w:shd w:val="clear" w:color="auto" w:fill="FFFFFF"/>
            <w:noWrap w:val="0"/>
            <w:vAlign w:val="top"/>
          </w:tcPr>
          <w:p>
            <w:pPr>
              <w:bidi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24" w:hRule="atLeast"/>
        </w:trPr>
        <w:tc>
          <w:tcPr>
            <w:tcW w:w="712"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187"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8月</w:t>
            </w:r>
          </w:p>
        </w:tc>
        <w:tc>
          <w:tcPr>
            <w:tcW w:w="2673" w:type="dxa"/>
            <w:shd w:val="clear" w:color="auto" w:fill="FFFFFF"/>
            <w:noWrap w:val="0"/>
            <w:tcMar>
              <w:top w:w="0" w:type="dxa"/>
              <w:left w:w="108" w:type="dxa"/>
              <w:bottom w:w="0" w:type="dxa"/>
              <w:right w:w="108" w:type="dxa"/>
            </w:tcMar>
            <w:vAlign w:val="center"/>
          </w:tcPr>
          <w:p>
            <w:pPr>
              <w:bidi w:val="0"/>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月份</w:t>
            </w:r>
            <w:r>
              <w:rPr>
                <w:rFonts w:hint="eastAsia" w:ascii="仿宋_GB2312" w:hAnsi="仿宋_GB2312" w:eastAsia="仿宋_GB2312" w:cs="仿宋_GB2312"/>
                <w:sz w:val="24"/>
                <w:szCs w:val="24"/>
                <w:lang w:val="en-US" w:eastAsia="zh-CN"/>
              </w:rPr>
              <w:t>组织职工进行在岗职业健康体检</w:t>
            </w:r>
          </w:p>
        </w:tc>
        <w:tc>
          <w:tcPr>
            <w:tcW w:w="4596"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由</w:t>
            </w:r>
            <w:r>
              <w:rPr>
                <w:rFonts w:hint="eastAsia" w:ascii="仿宋_GB2312" w:hAnsi="仿宋_GB2312" w:eastAsia="仿宋_GB2312" w:cs="仿宋_GB2312"/>
                <w:sz w:val="24"/>
                <w:szCs w:val="24"/>
                <w:lang w:val="en-US" w:eastAsia="zh-CN"/>
              </w:rPr>
              <w:t>安全环保部</w:t>
            </w:r>
            <w:r>
              <w:rPr>
                <w:rFonts w:hint="eastAsia" w:ascii="仿宋_GB2312" w:hAnsi="仿宋_GB2312" w:eastAsia="仿宋_GB2312" w:cs="仿宋_GB2312"/>
                <w:sz w:val="24"/>
                <w:szCs w:val="24"/>
              </w:rPr>
              <w:t>负责安排在</w:t>
            </w:r>
            <w:r>
              <w:rPr>
                <w:rFonts w:hint="eastAsia" w:ascii="仿宋_GB2312" w:hAnsi="仿宋_GB2312" w:eastAsia="仿宋_GB2312" w:cs="仿宋_GB2312"/>
                <w:sz w:val="24"/>
                <w:szCs w:val="24"/>
                <w:lang w:val="en-US" w:eastAsia="zh-CN"/>
              </w:rPr>
              <w:t>岗</w:t>
            </w:r>
            <w:r>
              <w:rPr>
                <w:rFonts w:hint="eastAsia" w:ascii="仿宋_GB2312" w:hAnsi="仿宋_GB2312" w:eastAsia="仿宋_GB2312" w:cs="仿宋_GB2312"/>
                <w:sz w:val="24"/>
                <w:szCs w:val="24"/>
              </w:rPr>
              <w:t>职员工体检</w:t>
            </w:r>
          </w:p>
        </w:tc>
        <w:tc>
          <w:tcPr>
            <w:tcW w:w="201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安全环保部</w:t>
            </w:r>
          </w:p>
        </w:tc>
        <w:tc>
          <w:tcPr>
            <w:tcW w:w="126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w:t>
            </w:r>
          </w:p>
        </w:tc>
        <w:tc>
          <w:tcPr>
            <w:tcW w:w="1127" w:type="dxa"/>
            <w:shd w:val="clear" w:color="auto" w:fill="FFFFFF"/>
            <w:noWrap w:val="0"/>
            <w:vAlign w:val="top"/>
          </w:tcPr>
          <w:p>
            <w:pPr>
              <w:bidi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rPr>
        <w:tc>
          <w:tcPr>
            <w:tcW w:w="712"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187"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p>
        </w:tc>
        <w:tc>
          <w:tcPr>
            <w:tcW w:w="2673"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职业病危害因素监测</w:t>
            </w:r>
          </w:p>
        </w:tc>
        <w:tc>
          <w:tcPr>
            <w:tcW w:w="4596"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配合委托的相关专业服务单位完成好年度职业危害因素的监测</w:t>
            </w:r>
          </w:p>
        </w:tc>
        <w:tc>
          <w:tcPr>
            <w:tcW w:w="201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安全环保部</w:t>
            </w:r>
          </w:p>
        </w:tc>
        <w:tc>
          <w:tcPr>
            <w:tcW w:w="126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w:t>
            </w:r>
          </w:p>
        </w:tc>
        <w:tc>
          <w:tcPr>
            <w:tcW w:w="1127" w:type="dxa"/>
            <w:shd w:val="clear" w:color="auto" w:fill="FFFFFF"/>
            <w:noWrap w:val="0"/>
            <w:vAlign w:val="top"/>
          </w:tcPr>
          <w:p>
            <w:pPr>
              <w:bidi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00" w:hRule="atLeast"/>
        </w:trPr>
        <w:tc>
          <w:tcPr>
            <w:tcW w:w="712"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187"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11月</w:t>
            </w:r>
          </w:p>
        </w:tc>
        <w:tc>
          <w:tcPr>
            <w:tcW w:w="2673"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职业病危害因素年度申报工作</w:t>
            </w:r>
          </w:p>
        </w:tc>
        <w:tc>
          <w:tcPr>
            <w:tcW w:w="4596"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相关专业服务单位完成年度职业危害因素的监测后，由安环部负责职业病危害因素年度申报工作</w:t>
            </w:r>
          </w:p>
        </w:tc>
        <w:tc>
          <w:tcPr>
            <w:tcW w:w="201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安全环保部</w:t>
            </w:r>
          </w:p>
        </w:tc>
        <w:tc>
          <w:tcPr>
            <w:tcW w:w="126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w:t>
            </w:r>
          </w:p>
        </w:tc>
        <w:tc>
          <w:tcPr>
            <w:tcW w:w="1127" w:type="dxa"/>
            <w:shd w:val="clear" w:color="auto" w:fill="FFFFFF"/>
            <w:noWrap w:val="0"/>
            <w:vAlign w:val="top"/>
          </w:tcPr>
          <w:p>
            <w:pPr>
              <w:bidi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37" w:hRule="atLeast"/>
        </w:trPr>
        <w:tc>
          <w:tcPr>
            <w:tcW w:w="712"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187"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w:t>
            </w:r>
          </w:p>
        </w:tc>
        <w:tc>
          <w:tcPr>
            <w:tcW w:w="2673"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根据计划与实施方案内容开展总结工作</w:t>
            </w:r>
          </w:p>
        </w:tc>
        <w:tc>
          <w:tcPr>
            <w:tcW w:w="4596" w:type="dxa"/>
            <w:shd w:val="clear" w:color="auto" w:fill="FFFFFF"/>
            <w:noWrap w:val="0"/>
            <w:tcMar>
              <w:top w:w="0" w:type="dxa"/>
              <w:left w:w="108" w:type="dxa"/>
              <w:bottom w:w="0" w:type="dxa"/>
              <w:right w:w="108" w:type="dxa"/>
            </w:tcMar>
            <w:vAlign w:val="center"/>
          </w:tcPr>
          <w:p>
            <w:pPr>
              <w:bidi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将各项职业病防治工作进行总结</w:t>
            </w:r>
          </w:p>
        </w:tc>
        <w:tc>
          <w:tcPr>
            <w:tcW w:w="201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安全环保部、综合部、经管财务部</w:t>
            </w:r>
          </w:p>
        </w:tc>
        <w:tc>
          <w:tcPr>
            <w:tcW w:w="1268" w:type="dxa"/>
            <w:shd w:val="clear" w:color="auto" w:fill="FFFFFF"/>
            <w:noWrap w:val="0"/>
            <w:tcMar>
              <w:top w:w="0" w:type="dxa"/>
              <w:left w:w="108" w:type="dxa"/>
              <w:bottom w:w="0" w:type="dxa"/>
              <w:right w:w="108" w:type="dxa"/>
            </w:tcMar>
            <w:vAlign w:val="center"/>
          </w:tcPr>
          <w:p>
            <w:pPr>
              <w:bidi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w:t>
            </w:r>
          </w:p>
        </w:tc>
        <w:tc>
          <w:tcPr>
            <w:tcW w:w="1127" w:type="dxa"/>
            <w:shd w:val="clear" w:color="auto" w:fill="FFFFFF"/>
            <w:noWrap w:val="0"/>
            <w:vAlign w:val="top"/>
          </w:tcPr>
          <w:p>
            <w:pPr>
              <w:bidi w:val="0"/>
              <w:jc w:val="center"/>
              <w:rPr>
                <w:rFonts w:hint="eastAsia" w:ascii="仿宋_GB2312" w:hAnsi="仿宋_GB2312" w:eastAsia="仿宋_GB2312" w:cs="仿宋_GB2312"/>
                <w:sz w:val="24"/>
                <w:szCs w:val="24"/>
              </w:rPr>
            </w:pPr>
          </w:p>
        </w:tc>
      </w:tr>
    </w:tbl>
    <w:p/>
    <w:p/>
    <w:p/>
    <w:sectPr>
      <w:headerReference r:id="rId6" w:type="default"/>
      <w:footerReference r:id="rId7" w:type="default"/>
      <w:pgSz w:w="16838" w:h="11906" w:orient="landscape"/>
      <w:pgMar w:top="1797" w:right="1531" w:bottom="179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C91CBC"/>
    <w:rsid w:val="59C91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2021-05-14T08:54:00Z</dcterms:created>
  <dc:creator>黑枣儿</dc:creator>
  <cp:lastModifiedBy>黑枣儿</cp:lastModifiedBy>
  <dcterms:modified xsi:type="dcterms:W3CDTF">2021-05-14T09:23:41Z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