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西北能化公司公开竞聘部分专业序列人员公告</w:t>
      </w:r>
    </w:p>
    <w:p>
      <w:pPr>
        <w:jc w:val="center"/>
        <w:rPr>
          <w:rFonts w:hint="eastAsia" w:ascii="方正小标宋简体" w:hAnsi="方正小标宋简体" w:eastAsia="方正小标宋简体" w:cs="方正小标宋简体"/>
          <w:b w:val="0"/>
          <w:bCs/>
          <w:color w:val="000000"/>
          <w:sz w:val="44"/>
          <w:szCs w:val="44"/>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各党（总）支部：</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根据《皖北煤电集团西北能化公司岗位竞聘管理办法》和《皖北煤电集团西北能化公司专业序列岗位评聘管理办法（试行）》，结合公司实际，根据工作需要，经公司党委研究，现面向全公司在岗员工公开招聘部分专业序列人员。公告如下：</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 一、公开招聘专业序列岗位</w:t>
      </w:r>
    </w:p>
    <w:p>
      <w:pPr>
        <w:pStyle w:val="6"/>
        <w:spacing w:line="640" w:lineRule="atLeast"/>
        <w:ind w:firstLine="640"/>
        <w:rPr>
          <w:rFonts w:hint="eastAsia" w:ascii="仿宋_GB2312" w:hAnsi="仿宋_GB2312" w:eastAsia="仿宋_GB2312" w:cs="仿宋_GB2312"/>
          <w:b w:val="0"/>
          <w:bCs/>
          <w:color w:val="000000"/>
          <w:sz w:val="32"/>
          <w:szCs w:val="32"/>
          <w:lang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1.生产技术部：（p4）1名业务主办。</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2.调度指挥中心：（p4）1名业务主办。</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二、岗位竞聘原则</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（一）民主公开原则。</w:t>
      </w:r>
      <w:r>
        <w:rPr>
          <w:rFonts w:hint="eastAsia" w:ascii="仿宋_GB2312" w:hAnsi="仿宋_GB2312" w:eastAsia="仿宋_GB2312" w:cs="仿宋_GB2312"/>
          <w:b w:val="0"/>
          <w:bCs/>
          <w:color w:val="000000"/>
          <w:sz w:val="32"/>
          <w:szCs w:val="32"/>
          <w:lang w:eastAsia="zh-CN"/>
        </w:rPr>
        <w:t>公司内部符合条件的职工均可参与竞聘，岗位竞聘通过业绩考量、笔试、面试、组织考察等方式公开竞争产生岗位人选。</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（二）人岗匹配原则。</w:t>
      </w:r>
      <w:r>
        <w:rPr>
          <w:rFonts w:hint="eastAsia" w:ascii="仿宋_GB2312" w:hAnsi="仿宋_GB2312" w:eastAsia="仿宋_GB2312" w:cs="仿宋_GB2312"/>
          <w:b w:val="0"/>
          <w:bCs/>
          <w:color w:val="000000"/>
          <w:sz w:val="32"/>
          <w:szCs w:val="32"/>
          <w:lang w:eastAsia="zh-CN"/>
        </w:rPr>
        <w:t>岗位竞聘以履行岗位职责能力为必要条件，选聘人员应具备履行岗位职责所必需的业务能力、心理素质和身体条件。</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（三）择优录取原则。</w:t>
      </w:r>
      <w:r>
        <w:rPr>
          <w:rFonts w:hint="eastAsia" w:ascii="仿宋_GB2312" w:hAnsi="仿宋_GB2312" w:eastAsia="仿宋_GB2312" w:cs="仿宋_GB2312"/>
          <w:b w:val="0"/>
          <w:bCs/>
          <w:color w:val="000000"/>
          <w:sz w:val="32"/>
          <w:szCs w:val="32"/>
          <w:lang w:eastAsia="zh-CN"/>
        </w:rPr>
        <w:t>岗位竞聘在董事会核准职数范围内按照人事管理权限和岗位管理规定，公开操作、择优录取。</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（四）逐级竞聘原则。</w:t>
      </w:r>
      <w:r>
        <w:rPr>
          <w:rFonts w:hint="eastAsia" w:ascii="仿宋_GB2312" w:hAnsi="仿宋_GB2312" w:eastAsia="仿宋_GB2312" w:cs="仿宋_GB2312"/>
          <w:b w:val="0"/>
          <w:bCs/>
          <w:color w:val="000000"/>
          <w:sz w:val="32"/>
          <w:szCs w:val="32"/>
          <w:lang w:eastAsia="zh-CN"/>
        </w:rPr>
        <w:t>岗位竞聘原则上应在下一层级岗位工作不低于2年。具备下列条件的，可越级竞聘：</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1.具备本科及以上学历，且有2年以上相关专业工作经验的；</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2.对公司有突出贡献的；</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3.在所竞聘岗位专业领域内有突出专长的。</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（五）宁缺勿滥原则。</w:t>
      </w:r>
      <w:r>
        <w:rPr>
          <w:rFonts w:hint="eastAsia" w:ascii="仿宋_GB2312" w:hAnsi="仿宋_GB2312" w:eastAsia="仿宋_GB2312" w:cs="仿宋_GB2312"/>
          <w:b w:val="0"/>
          <w:bCs/>
          <w:color w:val="000000"/>
          <w:sz w:val="32"/>
          <w:szCs w:val="32"/>
          <w:lang w:eastAsia="zh-CN"/>
        </w:rPr>
        <w:t>对竞聘人员进行评估时，必须将竞聘人员“自身条件”与竞聘岗位“任职要求”作比较，而不是简单地将竞聘者相互比较选取较优者。</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三、成立岗位竞聘管理小组</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组</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长：党委书记、经理 </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副</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组</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长：各专业分管领导</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小组成员：人力资源部、竞聘岗位所属部门负责人及相关工作人员。</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四、基本条件</w:t>
      </w:r>
    </w:p>
    <w:p>
      <w:pPr>
        <w:pStyle w:val="6"/>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（一）品行端正，遵章守纪，敬业爱岗，作风扎实，团结协作，有良好的职业道德。</w:t>
      </w:r>
    </w:p>
    <w:p>
      <w:pPr>
        <w:pStyle w:val="6"/>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（二）勤于学习，具有履行岗位职责、解决实际问题的业务水平和工作能力，并取得一定的工作业绩。</w:t>
      </w:r>
    </w:p>
    <w:p>
      <w:pPr>
        <w:pStyle w:val="6"/>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（三）身体健康，能适应工作需要。</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五、基本任职资格</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岗位竞聘原则上应在下一层级岗位工作不低于2年，或在下两层级岗位工作不低于5年，不允许跨两个以上层级竞聘。同时，应具备以下基本条件：</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1.业务主办（P4）。</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（1）基本素质：大专及以上学历。具有相关专业中级任职资格满4年。其中，生产车间可放宽至助理级。</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（2）岗位经历：从事本专业相关技术及管理工作满4年。在下一层级工作岗位满2年。</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（3）专业能力：能够承担部门本专业技术应用，通过接受较小程度的指导解决部门技术应用中的难题。</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业绩要求：独立撰写过2篇及以上涉及本专业的技术方案、制度办法或取得1项及以上技术创新成果（取得发明专利或在公司获奖），经公司党委会认定在推动企业经济效益、管理效率提升等方面取得较好成效。近两年业绩考核结果均为“良好”及以上。</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六、招录程序</w:t>
      </w:r>
    </w:p>
    <w:p>
      <w:pPr>
        <w:pStyle w:val="6"/>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（一）报名和资格审查。</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采取个人报名和组织推荐相结合的方式进行，每人限报1个岗位。</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1.个人报名。报名时需提供以下材料：</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（1）《西北能化公司公开竞聘专业序列人员报名表》1份；</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（2）学历证书原件及复印件各1份；</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（3）身份证原件及复印件1份；</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（4）本人近期同底2寸免冠彩照3张。</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（5）业绩考量所需材料。</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以上材料有所在单位党支部汇总后于2021年3月5日前将纸质版及电子版报送至人力资源部。</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2.资格审查。人力资源部牵头对报名人员进行资格审查，经纪委、安全环保部、综合部等部门把关后，确定符合报名条件人员名单，并在内网进行公示。</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各招考岗位的报名人数与拟竞聘人数的比例原则上不低于3：1。达不到3：1的，取消该岗位竞聘计划。</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（二）公开竞聘。</w:t>
      </w:r>
      <w:r>
        <w:rPr>
          <w:rFonts w:hint="eastAsia" w:ascii="仿宋_GB2312" w:hAnsi="仿宋_GB2312" w:eastAsia="仿宋_GB2312" w:cs="仿宋_GB2312"/>
          <w:b w:val="0"/>
          <w:bCs/>
          <w:color w:val="000000"/>
          <w:sz w:val="32"/>
          <w:szCs w:val="32"/>
          <w:lang w:eastAsia="zh-CN"/>
        </w:rPr>
        <w:t>主要分业绩考核、笔试、面试三个环节，均实行百分制，最终确定综合得分。计算公式为：</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综合得分=业绩考量×40%+笔试成绩×30%+面试成绩×30%。</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 xml:space="preserve">1.笔试。公共基础知识和专业理论知识各占50%，主要考核竞聘人员综合知识和专业水平； </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面试。按笔试成绩从高到低排序后，以竞聘岗位的1：2确定面试人选。面试采取答辩方式，一般由分管领导、专业或技能领域带头人、人力资源部相关人员负责（5至7人），主要考察应聘人员的专业素养、思维能力、语言表达能力、个人潜质等。</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 业绩考量。重点量化业绩、专业技术资格（技能等级）、学历、年度绩效考核（参与竞聘人员没有年度绩效考核结果的按照其他有年度绩效考核竞聘人员年度绩效考核结果的平均值计算）、荣誉等方面，采用百分制，分项封顶。其中，专业技术资格（技能等级）、学历、荣誉以最高计分项计分，不累加。</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专业技术资格（技能等级）（20分）：高级（正高级）资格计20分，中级资格计15分，初级资格计10分；高级技师计20分，技师计15分，高级工计10分，中级工、初级工计5分；无技能等级的班队正职计10分，班队副职计5分；无专业技术资格的原一般管理岗计5分。</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（2）学历（10分）。员工学历（以国家教委承认颁发的正规学历为准）：研究生学历计10分，本科学历计8分，大专学历计6分，高中（中专、中技）学历计5分。</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（3）年度绩效考核（45分）。近三年年度绩效考核结果综合累加：卓越计15分/次，优秀计10分/次，良好计5分/次。</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（4）荣誉（25分）。国家级荣誉计25分，行业级、省级荣誉计20分，集团公司和市级荣誉计15分，公司荣誉计10分。</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（5）其他。由人力资源部结合个人工作业绩和日常了解情况，给予1-10分加分。</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（三）确定考察对象。</w:t>
      </w:r>
      <w:r>
        <w:rPr>
          <w:rFonts w:hint="eastAsia" w:ascii="仿宋_GB2312" w:hAnsi="仿宋_GB2312" w:eastAsia="仿宋_GB2312" w:cs="仿宋_GB2312"/>
          <w:b w:val="0"/>
          <w:bCs/>
          <w:color w:val="000000"/>
          <w:sz w:val="32"/>
          <w:szCs w:val="32"/>
          <w:lang w:eastAsia="zh-CN"/>
        </w:rPr>
        <w:t>根据个人综合成绩从高到底，按照择优录用原则，以岗位需求人数确定考察对象，发布考察预告。</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（四）组织考察。</w:t>
      </w:r>
      <w:r>
        <w:rPr>
          <w:rFonts w:hint="eastAsia" w:ascii="仿宋_GB2312" w:hAnsi="仿宋_GB2312" w:eastAsia="仿宋_GB2312" w:cs="仿宋_GB2312"/>
          <w:b w:val="0"/>
          <w:bCs/>
          <w:color w:val="000000"/>
          <w:sz w:val="32"/>
          <w:szCs w:val="32"/>
          <w:lang w:eastAsia="zh-CN"/>
        </w:rPr>
        <w:t>由人力资源部牵头，通过听取考察对象所在单位及分管领导意见、查阅人事档案、组织谈话、与本人见面等方式，重点了解考察对象德、能、勤、绩、廉等方面情况，结合公开竞聘环节综合表现，形成考察报告，提出拟任用意见；所在党支部负责出具廉洁从业证明。经考察不符合岗位要求的，按综合成绩排序顺延补充考察对象。</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（五）公示聘用。</w:t>
      </w:r>
      <w:r>
        <w:rPr>
          <w:rFonts w:hint="eastAsia" w:ascii="仿宋_GB2312" w:hAnsi="仿宋_GB2312" w:eastAsia="仿宋_GB2312" w:cs="仿宋_GB2312"/>
          <w:b w:val="0"/>
          <w:bCs/>
          <w:color w:val="000000"/>
          <w:sz w:val="32"/>
          <w:szCs w:val="32"/>
          <w:lang w:eastAsia="zh-CN"/>
        </w:rPr>
        <w:t>考察合格的，制定竞聘岗位人员方案（结合人员实际情况，不能满足岗位需要的，岗位暂时空缺），在一定范围内公示5个工作日，经公司党委会研究后，下发聘任文件，颁发聘书。</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七、相关要求</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（一）公司现已聘在岗人员套改竞聘同职级岗位时，可不受岗位性质、专业技术资格和技能等级限制，竞聘岗位后，3年内须取得相应技术资格和技能等级，否则解聘岗位，易岗易薪。</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（二）受党纪政纪处分或组织处理影响期未满的，不得报名；距法定退休年龄不足5年的，不得报名；资格审查通过后，无正当理由弃考的，1年内不得参加竞聘；竞聘到新岗位不满一年的，不得再次参加竞聘。</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（三）专业序列P3及以下岗位由相关部门参照该办法自主执行。</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黑体" w:hAnsi="黑体" w:eastAsia="黑体" w:cs="黑体"/>
          <w:b w:val="0"/>
          <w:bCs/>
          <w:color w:val="000000"/>
          <w:sz w:val="32"/>
          <w:szCs w:val="32"/>
          <w:lang w:eastAsia="zh-CN"/>
        </w:rPr>
        <w:t>八、时间安排</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报名时间：2021年2月25日— 3月5日。</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笔试具体时间、地点另行通知。</w:t>
      </w:r>
    </w:p>
    <w:p>
      <w:pPr>
        <w:pStyle w:val="6"/>
        <w:spacing w:line="640" w:lineRule="atLeast"/>
        <w:ind w:firstLine="64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九、保障措施</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一）各党支部要高度重视，宣传到位，保证公开竞聘工作相关内容传达到每一名符合条件的人员；报名人员提供虚假材料或伪造、变造有关证件、材料、信息的，一经查实，取消参加竞聘资格，并按照有关规定追责问责。</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二</w:t>
      </w:r>
      <w:r>
        <w:rPr>
          <w:rFonts w:hint="eastAsia" w:ascii="仿宋_GB2312" w:hAnsi="仿宋_GB2312" w:eastAsia="仿宋_GB2312" w:cs="仿宋_GB2312"/>
          <w:b w:val="0"/>
          <w:bCs/>
          <w:color w:val="000000"/>
          <w:sz w:val="32"/>
          <w:szCs w:val="32"/>
          <w:lang w:eastAsia="zh-CN"/>
        </w:rPr>
        <w:t>）纪委全程参与监督，为加强对公开竞聘工作的监督，公司设立公开竞聘监督电话和</w:t>
      </w:r>
      <w:r>
        <w:rPr>
          <w:rFonts w:hint="eastAsia" w:ascii="仿宋_GB2312" w:hAnsi="仿宋_GB2312" w:eastAsia="仿宋_GB2312" w:cs="仿宋_GB2312"/>
          <w:b w:val="0"/>
          <w:bCs/>
          <w:color w:val="000000"/>
          <w:sz w:val="32"/>
          <w:szCs w:val="32"/>
          <w:lang w:val="en-US" w:eastAsia="zh-CN"/>
        </w:rPr>
        <w:t>电子邮箱</w:t>
      </w:r>
      <w:r>
        <w:rPr>
          <w:rFonts w:hint="eastAsia" w:ascii="仿宋_GB2312" w:hAnsi="仿宋_GB2312" w:eastAsia="仿宋_GB2312" w:cs="仿宋_GB2312"/>
          <w:b w:val="0"/>
          <w:bCs/>
          <w:color w:val="000000"/>
          <w:sz w:val="32"/>
          <w:szCs w:val="32"/>
          <w:lang w:eastAsia="zh-CN"/>
        </w:rPr>
        <w:t>，欢迎广大干部职工对本次公开竞聘工作进行监督。</w:t>
      </w:r>
    </w:p>
    <w:p>
      <w:pPr>
        <w:pStyle w:val="6"/>
        <w:spacing w:line="640" w:lineRule="atLeast"/>
        <w:ind w:firstLine="640"/>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监督电话：</w:t>
      </w:r>
      <w:r>
        <w:rPr>
          <w:rFonts w:hint="eastAsia" w:ascii="仿宋_GB2312" w:hAnsi="仿宋_GB2312" w:eastAsia="仿宋_GB2312" w:cs="仿宋_GB2312"/>
          <w:b w:val="0"/>
          <w:bCs/>
          <w:color w:val="000000"/>
          <w:sz w:val="32"/>
          <w:szCs w:val="32"/>
          <w:lang w:val="en-US" w:eastAsia="zh-CN"/>
        </w:rPr>
        <w:t>0477-2274628/18148273507</w:t>
      </w:r>
    </w:p>
    <w:p>
      <w:pPr>
        <w:pStyle w:val="6"/>
        <w:spacing w:line="640" w:lineRule="atLeast"/>
        <w:ind w:firstLine="2249" w:firstLineChars="703"/>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0477-2274789/15047700008</w:t>
      </w:r>
    </w:p>
    <w:p>
      <w:pPr>
        <w:pStyle w:val="6"/>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电子邮箱：xbnh001@163.com</w:t>
      </w:r>
      <w:r>
        <w:rPr>
          <w:rFonts w:hint="eastAsia" w:ascii="仿宋_GB2312" w:hAnsi="仿宋_GB2312" w:eastAsia="仿宋_GB2312" w:cs="仿宋_GB2312"/>
          <w:b w:val="0"/>
          <w:bCs/>
          <w:color w:val="000000"/>
          <w:sz w:val="32"/>
          <w:szCs w:val="32"/>
          <w:lang w:eastAsia="zh-CN"/>
        </w:rPr>
        <w:t xml:space="preserve"> </w:t>
      </w:r>
    </w:p>
    <w:p>
      <w:pPr>
        <w:pStyle w:val="6"/>
        <w:spacing w:line="640" w:lineRule="atLeast"/>
        <w:ind w:firstLine="640"/>
        <w:rPr>
          <w:rFonts w:hint="eastAsia" w:ascii="仿宋_GB2312" w:hAnsi="仿宋_GB2312" w:eastAsia="仿宋_GB2312" w:cs="仿宋_GB2312"/>
          <w:b w:val="0"/>
          <w:bCs/>
          <w:color w:val="000000"/>
          <w:sz w:val="32"/>
          <w:szCs w:val="32"/>
          <w:lang w:eastAsia="zh-CN"/>
        </w:rPr>
      </w:pPr>
    </w:p>
    <w:p>
      <w:pPr>
        <w:pStyle w:val="6"/>
        <w:spacing w:line="640" w:lineRule="atLeast"/>
        <w:ind w:firstLine="640"/>
        <w:rPr>
          <w:rFonts w:hint="eastAsia" w:ascii="仿宋_GB2312" w:hAnsi="仿宋_GB2312" w:eastAsia="仿宋_GB2312" w:cs="仿宋_GB2312"/>
          <w:b w:val="0"/>
          <w:bCs/>
          <w:color w:val="000000"/>
          <w:sz w:val="32"/>
          <w:szCs w:val="32"/>
          <w:lang w:eastAsia="zh-CN"/>
        </w:rPr>
      </w:pPr>
      <w:bookmarkStart w:id="0" w:name="_GoBack"/>
      <w:bookmarkEnd w:id="0"/>
      <w:r>
        <w:rPr>
          <w:rFonts w:hint="eastAsia" w:ascii="仿宋_GB2312" w:hAnsi="仿宋_GB2312" w:eastAsia="仿宋_GB2312" w:cs="仿宋_GB2312"/>
          <w:b w:val="0"/>
          <w:bCs/>
          <w:color w:val="000000"/>
          <w:sz w:val="32"/>
          <w:szCs w:val="32"/>
          <w:lang w:val="en-US" w:eastAsia="zh-CN"/>
        </w:rPr>
        <w:t>附件：西北能化公司专业序列岗位竞聘报名表</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25</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综合</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2</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25</w:t>
      </w:r>
      <w:r>
        <w:rPr>
          <w:rFonts w:hint="eastAsia" w:ascii="仿宋_GB2312" w:hAnsi="仿宋" w:eastAsia="仿宋_GB2312"/>
          <w:snapToGrid w:val="0"/>
          <w:color w:val="auto"/>
          <w:sz w:val="28"/>
          <w:szCs w:val="28"/>
        </w:rPr>
        <w:t>日印发</w:t>
      </w:r>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94FE7"/>
    <w:rsid w:val="32BC4A91"/>
    <w:rsid w:val="3E707969"/>
    <w:rsid w:val="46CE4981"/>
    <w:rsid w:val="650E4DFF"/>
    <w:rsid w:val="72294FE7"/>
    <w:rsid w:val="7E6C3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2021-02-24T23:57:00Z</dcterms:created>
  <dc:creator>黑枣儿</dc:creator>
  <cp:lastModifiedBy>黑枣儿</cp:lastModifiedBy>
  <dcterms:modified xsi:type="dcterms:W3CDTF">2021-02-25T00:09:05Z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