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exact"/>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rPr>
          <w:rFonts w:hint="eastAsia" w:ascii="仿宋_GB2312" w:eastAsia="仿宋_GB2312"/>
          <w:sz w:val="28"/>
          <w:szCs w:val="28"/>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color w:val="000000"/>
          <w:szCs w:val="21"/>
        </w:rPr>
      </w:pPr>
    </w:p>
    <w:p>
      <w:pPr>
        <w:jc w:val="center"/>
        <w:rPr>
          <w:rFonts w:hint="eastAsia" w:ascii="仿宋_GB2312" w:eastAsia="仿宋_GB2312"/>
          <w:color w:val="000000"/>
          <w:szCs w:val="21"/>
        </w:rPr>
      </w:pP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rPr>
        <w:t>西北能化</w:t>
      </w:r>
      <w:r>
        <w:rPr>
          <w:rFonts w:hint="eastAsia" w:ascii="仿宋_GB2312" w:hAnsi="仿宋" w:eastAsia="仿宋_GB2312" w:cs="仿宋"/>
          <w:sz w:val="32"/>
          <w:szCs w:val="32"/>
          <w:lang w:val="en-US" w:eastAsia="zh-CN"/>
        </w:rPr>
        <w:t>党发</w:t>
      </w:r>
      <w:r>
        <w:rPr>
          <w:rFonts w:hint="eastAsia" w:ascii="仿宋_GB2312" w:hAnsi="仿宋" w:eastAsia="仿宋_GB2312" w:cs="仿宋"/>
          <w:sz w:val="32"/>
          <w:szCs w:val="32"/>
        </w:rPr>
        <w:t>〔20</w:t>
      </w:r>
      <w:r>
        <w:rPr>
          <w:rFonts w:hint="eastAsia" w:ascii="仿宋_GB2312" w:hAnsi="仿宋" w:eastAsia="仿宋_GB2312" w:cs="仿宋"/>
          <w:sz w:val="32"/>
          <w:szCs w:val="32"/>
          <w:lang w:val="en-US" w:eastAsia="zh-CN"/>
        </w:rPr>
        <w:t>21</w:t>
      </w:r>
      <w:r>
        <w:rPr>
          <w:rFonts w:hint="eastAsia" w:ascii="仿宋_GB2312" w:hAnsi="仿宋" w:eastAsia="仿宋_GB2312" w:cs="仿宋"/>
          <w:sz w:val="32"/>
          <w:szCs w:val="32"/>
        </w:rPr>
        <w:t>〕</w:t>
      </w:r>
      <w:r>
        <w:rPr>
          <w:rFonts w:hint="eastAsia" w:ascii="仿宋_GB2312" w:hAnsi="仿宋" w:eastAsia="仿宋_GB2312" w:cs="仿宋"/>
          <w:sz w:val="32"/>
          <w:szCs w:val="32"/>
          <w:lang w:val="en-US" w:eastAsia="zh-CN"/>
        </w:rPr>
        <w:t>7</w:t>
      </w:r>
      <w:r>
        <w:rPr>
          <w:rFonts w:hint="eastAsia" w:ascii="仿宋_GB2312" w:hAnsi="仿宋" w:eastAsia="仿宋_GB2312" w:cs="仿宋"/>
          <w:sz w:val="32"/>
          <w:szCs w:val="32"/>
        </w:rPr>
        <w:t>号</w:t>
      </w:r>
    </w:p>
    <w:p>
      <w:pPr>
        <w:jc w:val="center"/>
        <w:rPr>
          <w:rFonts w:hint="eastAsia" w:ascii="仿宋_GB2312" w:eastAsia="仿宋_GB2312"/>
          <w:color w:val="000000"/>
          <w:sz w:val="10"/>
          <w:szCs w:val="10"/>
        </w:rPr>
      </w:pPr>
    </w:p>
    <w:p>
      <w:pPr>
        <w:jc w:val="center"/>
        <w:rPr>
          <w:rFonts w:hint="eastAsia" w:ascii="仿宋_GB2312" w:eastAsia="仿宋_GB2312"/>
          <w:color w:val="000000"/>
          <w:sz w:val="10"/>
          <w:szCs w:val="10"/>
        </w:rPr>
      </w:pPr>
    </w:p>
    <w:p>
      <w:pPr>
        <w:jc w:val="center"/>
        <w:rPr>
          <w:rFonts w:hint="eastAsia" w:ascii="仿宋_GB2312" w:eastAsia="仿宋_GB2312"/>
          <w:color w:val="000000"/>
          <w:sz w:val="10"/>
          <w:szCs w:val="10"/>
        </w:rPr>
      </w:pPr>
    </w:p>
    <w:p>
      <w:pPr>
        <w:jc w:val="center"/>
        <w:rPr>
          <w:rFonts w:hint="eastAsia" w:ascii="仿宋_GB2312" w:eastAsia="仿宋_GB2312"/>
          <w:color w:val="000000"/>
          <w:sz w:val="10"/>
          <w:szCs w:val="10"/>
        </w:rPr>
      </w:pPr>
    </w:p>
    <w:p>
      <w:pPr>
        <w:jc w:val="center"/>
        <w:rPr>
          <w:rFonts w:hint="eastAsia" w:ascii="仿宋_GB2312" w:eastAsia="仿宋_GB2312"/>
          <w:color w:val="000000"/>
          <w:sz w:val="10"/>
          <w:szCs w:val="10"/>
        </w:rPr>
      </w:pPr>
    </w:p>
    <w:p>
      <w:pPr>
        <w:jc w:val="center"/>
        <w:rPr>
          <w:rFonts w:hint="eastAsia" w:ascii="仿宋_GB2312" w:eastAsia="仿宋_GB2312"/>
          <w:color w:val="000000"/>
          <w:sz w:val="10"/>
          <w:szCs w:val="10"/>
        </w:rPr>
      </w:pPr>
    </w:p>
    <w:p>
      <w:pPr>
        <w:jc w:val="center"/>
        <w:rPr>
          <w:rFonts w:hint="eastAsia" w:ascii="仿宋_GB2312" w:eastAsia="仿宋_GB2312"/>
          <w:color w:val="000000"/>
          <w:szCs w:val="21"/>
        </w:rPr>
      </w:pPr>
    </w:p>
    <w:p>
      <w:pPr>
        <w:jc w:val="center"/>
        <w:rPr>
          <w:rFonts w:hint="eastAsia" w:ascii="宋体" w:hAnsi="宋体"/>
          <w:b/>
          <w:color w:val="000000"/>
          <w:sz w:val="44"/>
          <w:szCs w:val="44"/>
        </w:rPr>
      </w:pPr>
    </w:p>
    <w:p>
      <w:pPr>
        <w:jc w:val="center"/>
        <w:rPr>
          <w:rFonts w:hint="eastAsia" w:ascii="方正小标宋简体" w:hAnsi="方正小标宋简体" w:eastAsia="方正小标宋简体" w:cs="方正小标宋简体"/>
          <w:b w:val="0"/>
          <w:bCs/>
          <w:color w:val="000000"/>
          <w:sz w:val="44"/>
          <w:szCs w:val="44"/>
        </w:rPr>
      </w:pPr>
      <w:r>
        <w:rPr>
          <w:rFonts w:hint="eastAsia" w:ascii="方正小标宋简体" w:hAnsi="方正小标宋简体" w:eastAsia="方正小标宋简体" w:cs="方正小标宋简体"/>
          <w:b w:val="0"/>
          <w:bCs/>
          <w:color w:val="000000"/>
          <w:sz w:val="44"/>
          <w:szCs w:val="44"/>
        </w:rPr>
        <w:t>西北能化公司三项制度改革工作实施方案</w:t>
      </w:r>
    </w:p>
    <w:p>
      <w:pPr>
        <w:jc w:val="center"/>
        <w:rPr>
          <w:rFonts w:hint="eastAsia" w:ascii="方正小标宋简体" w:hAnsi="方正小标宋简体" w:eastAsia="方正小标宋简体" w:cs="方正小标宋简体"/>
          <w:b w:val="0"/>
          <w:bCs/>
          <w:color w:val="000000"/>
          <w:sz w:val="44"/>
          <w:szCs w:val="44"/>
        </w:rPr>
      </w:pP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为深入开展</w:t>
      </w:r>
      <w:r>
        <w:rPr>
          <w:rFonts w:eastAsia="仿宋_GB2312"/>
          <w:sz w:val="32"/>
          <w:szCs w:val="32"/>
          <w:lang w:bidi="ar"/>
        </w:rPr>
        <w:t>劳动、人事、分配三项制度改革，</w:t>
      </w:r>
      <w:r>
        <w:rPr>
          <w:rFonts w:hint="eastAsia" w:ascii="仿宋_GB2312" w:hAnsi="仿宋_GB2312" w:eastAsia="仿宋_GB2312" w:cs="仿宋_GB2312"/>
          <w:sz w:val="32"/>
          <w:szCs w:val="32"/>
        </w:rPr>
        <w:t>形成有效的竞争、激励、约束机制，进一步提升经济效益和工作效率，根据《皖北煤电集团公司关于深化三项制度改革试点的指导意见》（皖北煤电组织〔2020〕183号）、</w:t>
      </w:r>
      <w:bookmarkStart w:id="0" w:name="发文字号"/>
      <w:r>
        <w:rPr>
          <w:rFonts w:eastAsia="仿宋_GB2312"/>
          <w:sz w:val="32"/>
          <w:szCs w:val="32"/>
          <w:lang w:bidi="ar"/>
        </w:rPr>
        <w:t>《皖北煤电集团公司三项制度改革专项行动实施方案》</w:t>
      </w:r>
      <w:r>
        <w:rPr>
          <w:rFonts w:hint="eastAsia" w:eastAsia="仿宋_GB2312"/>
          <w:sz w:val="32"/>
          <w:szCs w:val="32"/>
          <w:lang w:bidi="ar"/>
        </w:rPr>
        <w:t>（</w:t>
      </w:r>
      <w:r>
        <w:rPr>
          <w:rFonts w:ascii="Times New Roman" w:hAnsi="Times New Roman" w:eastAsia="仿宋_GB2312"/>
          <w:color w:val="000000"/>
          <w:sz w:val="32"/>
          <w:szCs w:val="32"/>
        </w:rPr>
        <w:t>皖北煤电党发</w:t>
      </w:r>
      <w:r>
        <w:rPr>
          <w:rFonts w:hint="eastAsia" w:ascii="仿宋_GB2312" w:hAnsi="仿宋_GB2312" w:eastAsia="仿宋_GB2312" w:cs="仿宋_GB2312"/>
          <w:color w:val="000000"/>
          <w:sz w:val="32"/>
          <w:szCs w:val="32"/>
        </w:rPr>
        <w:t>〔2020〕133号</w:t>
      </w:r>
      <w:r>
        <w:rPr>
          <w:rFonts w:hint="eastAsia" w:eastAsia="仿宋_GB2312"/>
          <w:sz w:val="32"/>
          <w:szCs w:val="32"/>
          <w:lang w:bidi="ar"/>
        </w:rPr>
        <w:t>）</w:t>
      </w:r>
      <w:bookmarkEnd w:id="0"/>
      <w:r>
        <w:rPr>
          <w:rFonts w:hint="eastAsia" w:eastAsia="仿宋_GB2312"/>
          <w:sz w:val="32"/>
          <w:szCs w:val="32"/>
          <w:lang w:bidi="ar"/>
        </w:rPr>
        <w:t>等</w:t>
      </w:r>
      <w:r>
        <w:rPr>
          <w:rFonts w:hint="eastAsia" w:ascii="仿宋_GB2312" w:hAnsi="仿宋_GB2312" w:eastAsia="仿宋_GB2312" w:cs="仿宋_GB2312"/>
          <w:sz w:val="32"/>
          <w:szCs w:val="32"/>
        </w:rPr>
        <w:t>文件精神，结合西北能化公司实际，制定本方案。</w:t>
      </w:r>
    </w:p>
    <w:p>
      <w:pPr>
        <w:spacing w:line="560" w:lineRule="exact"/>
        <w:ind w:firstLine="640" w:firstLineChars="200"/>
        <w:rPr>
          <w:rFonts w:eastAsia="黑体"/>
          <w:sz w:val="32"/>
          <w:szCs w:val="32"/>
        </w:rPr>
      </w:pPr>
      <w:r>
        <w:rPr>
          <w:rFonts w:eastAsia="黑体"/>
          <w:sz w:val="32"/>
          <w:szCs w:val="32"/>
          <w:lang w:bidi="ar"/>
        </w:rPr>
        <w:t>一、指导思想</w:t>
      </w:r>
    </w:p>
    <w:p>
      <w:pPr>
        <w:spacing w:line="560" w:lineRule="exact"/>
        <w:ind w:firstLine="640" w:firstLineChars="200"/>
        <w:rPr>
          <w:rFonts w:eastAsia="仿宋_GB2312"/>
          <w:sz w:val="32"/>
          <w:szCs w:val="32"/>
          <w:lang w:bidi="ar"/>
        </w:rPr>
        <w:sectPr>
          <w:headerReference r:id="rId3" w:type="default"/>
          <w:pgSz w:w="11906" w:h="16838"/>
          <w:pgMar w:top="1417" w:right="1474" w:bottom="1984" w:left="1587" w:header="851" w:footer="2381" w:gutter="0"/>
          <w:pgNumType w:fmt="numberInDash" w:start="2"/>
          <w:cols w:space="720" w:num="1"/>
          <w:rtlGutter w:val="0"/>
          <w:docGrid w:linePitch="312" w:charSpace="0"/>
        </w:sectPr>
      </w:pPr>
    </w:p>
    <w:p>
      <w:pPr>
        <w:spacing w:line="560" w:lineRule="exact"/>
        <w:ind w:firstLine="640" w:firstLineChars="200"/>
        <w:rPr>
          <w:rFonts w:eastAsia="仿宋_GB2312"/>
          <w:sz w:val="32"/>
          <w:szCs w:val="32"/>
          <w:lang w:bidi="ar"/>
        </w:rPr>
      </w:pPr>
      <w:r>
        <w:rPr>
          <w:rFonts w:eastAsia="仿宋_GB2312"/>
          <w:sz w:val="32"/>
          <w:szCs w:val="32"/>
          <w:lang w:bidi="ar"/>
        </w:rPr>
        <w:t>以习近平新时代中国特色社会主义思想为指引，立足</w:t>
      </w:r>
      <w:r>
        <w:rPr>
          <w:rFonts w:hint="eastAsia" w:eastAsia="仿宋_GB2312"/>
          <w:sz w:val="32"/>
          <w:szCs w:val="32"/>
          <w:lang w:bidi="ar"/>
        </w:rPr>
        <w:t>西北能化</w:t>
      </w:r>
      <w:r>
        <w:rPr>
          <w:rFonts w:eastAsia="仿宋_GB2312"/>
          <w:sz w:val="32"/>
          <w:szCs w:val="32"/>
          <w:lang w:bidi="ar"/>
        </w:rPr>
        <w:t>公司当前实际，坚持问题导向和目标导向，以发挥市场决定性作用为方向，健全完善市场化劳动用工、人事选聘和收入分配管理体系，不断优化人力资源配置，持续激发内在活力，稳步提高效益效率，</w:t>
      </w:r>
      <w:r>
        <w:rPr>
          <w:rFonts w:hint="eastAsia" w:eastAsia="仿宋_GB2312"/>
          <w:sz w:val="32"/>
          <w:szCs w:val="32"/>
        </w:rPr>
        <w:t>为“精智西北能化”建设</w:t>
      </w:r>
      <w:r>
        <w:rPr>
          <w:rFonts w:eastAsia="仿宋_GB2312"/>
          <w:sz w:val="32"/>
          <w:szCs w:val="32"/>
        </w:rPr>
        <w:t>提供有力保障</w:t>
      </w:r>
      <w:r>
        <w:rPr>
          <w:rFonts w:hint="eastAsia" w:eastAsia="仿宋_GB2312"/>
          <w:sz w:val="32"/>
          <w:szCs w:val="32"/>
        </w:rPr>
        <w:t>。</w:t>
      </w:r>
    </w:p>
    <w:p>
      <w:pPr>
        <w:spacing w:line="560" w:lineRule="exact"/>
        <w:ind w:firstLine="640" w:firstLineChars="200"/>
        <w:rPr>
          <w:rFonts w:eastAsia="黑体"/>
          <w:sz w:val="32"/>
          <w:szCs w:val="32"/>
          <w:lang w:bidi="ar"/>
        </w:rPr>
      </w:pPr>
      <w:r>
        <w:rPr>
          <w:rFonts w:hint="eastAsia" w:eastAsia="黑体"/>
          <w:sz w:val="32"/>
          <w:szCs w:val="32"/>
          <w:lang w:bidi="ar"/>
        </w:rPr>
        <w:t>二、总体目标</w:t>
      </w:r>
    </w:p>
    <w:p>
      <w:pPr>
        <w:spacing w:line="560" w:lineRule="exact"/>
        <w:ind w:firstLine="640" w:firstLineChars="200"/>
        <w:rPr>
          <w:rFonts w:eastAsia="仿宋_GB2312"/>
          <w:sz w:val="32"/>
          <w:szCs w:val="32"/>
        </w:rPr>
      </w:pPr>
      <w:r>
        <w:rPr>
          <w:rFonts w:hint="eastAsia" w:eastAsia="仿宋_GB2312"/>
          <w:sz w:val="32"/>
          <w:szCs w:val="32"/>
        </w:rPr>
        <w:t>试点运行三项制度改革，坚持方案服从需要、效率服从质量，强化过程管控，为集团公司大范围推进改革奠定坚实基础。</w:t>
      </w:r>
    </w:p>
    <w:p>
      <w:pPr>
        <w:spacing w:line="560" w:lineRule="exact"/>
        <w:ind w:firstLine="643" w:firstLineChars="200"/>
        <w:rPr>
          <w:rFonts w:eastAsia="仿宋_GB2312"/>
          <w:sz w:val="32"/>
          <w:szCs w:val="32"/>
        </w:rPr>
      </w:pPr>
      <w:r>
        <w:rPr>
          <w:rFonts w:eastAsia="楷体_GB2312"/>
          <w:b/>
          <w:sz w:val="32"/>
          <w:szCs w:val="32"/>
          <w:lang w:bidi="ar"/>
        </w:rPr>
        <w:t>——人员结构目标。</w:t>
      </w:r>
      <w:r>
        <w:rPr>
          <w:rFonts w:hint="eastAsia" w:ascii="仿宋_GB2312" w:hAnsi="仿宋_GB2312" w:eastAsia="仿宋_GB2312" w:cs="仿宋_GB2312"/>
          <w:sz w:val="32"/>
          <w:szCs w:val="32"/>
          <w:lang w:bidi="ar"/>
        </w:rPr>
        <w:t>2022年，公司在岗职工总量控制在380人以内（含学员）。管理岗位人员控制在10%人以内，专业技术人才达到15%以上，主操（W3）及以上高技能人才占技能人才比达到30%以上，操作岗位熟练工数量达到180</w:t>
      </w:r>
      <w:r>
        <w:rPr>
          <w:rFonts w:hint="eastAsia" w:eastAsia="仿宋_GB2312"/>
          <w:sz w:val="32"/>
          <w:szCs w:val="32"/>
          <w:lang w:bidi="ar"/>
        </w:rPr>
        <w:t>人</w:t>
      </w:r>
      <w:r>
        <w:rPr>
          <w:rFonts w:eastAsia="仿宋_GB2312"/>
          <w:sz w:val="32"/>
          <w:szCs w:val="32"/>
          <w:lang w:bidi="ar"/>
        </w:rPr>
        <w:t>以上</w:t>
      </w:r>
      <w:r>
        <w:rPr>
          <w:rFonts w:eastAsia="仿宋_GB2312"/>
          <w:color w:val="333333"/>
          <w:kern w:val="0"/>
          <w:sz w:val="32"/>
          <w:szCs w:val="32"/>
          <w:lang w:bidi="ar"/>
        </w:rPr>
        <w:t>；不胜任岗位人员能及时退出，</w:t>
      </w:r>
      <w:r>
        <w:rPr>
          <w:rFonts w:eastAsia="仿宋_GB2312"/>
          <w:color w:val="000000"/>
          <w:sz w:val="32"/>
          <w:szCs w:val="32"/>
          <w:shd w:val="clear" w:color="auto" w:fill="FFFFFF"/>
          <w:lang w:bidi="ar"/>
        </w:rPr>
        <w:t>生产一线岗位、关键岗位人员和紧缺急需的高层次、高技能</w:t>
      </w:r>
      <w:r>
        <w:rPr>
          <w:rFonts w:eastAsia="仿宋_GB2312"/>
          <w:color w:val="333333"/>
          <w:kern w:val="0"/>
          <w:sz w:val="32"/>
          <w:szCs w:val="32"/>
          <w:lang w:bidi="ar"/>
        </w:rPr>
        <w:t>人才能及时补充引入。</w:t>
      </w:r>
    </w:p>
    <w:p>
      <w:pPr>
        <w:spacing w:line="560" w:lineRule="exact"/>
        <w:ind w:firstLine="643" w:firstLineChars="200"/>
        <w:rPr>
          <w:rFonts w:hint="eastAsia" w:ascii="仿宋_GB2312" w:hAnsi="仿宋_GB2312" w:eastAsia="仿宋_GB2312" w:cs="仿宋_GB2312"/>
          <w:sz w:val="32"/>
          <w:szCs w:val="32"/>
        </w:rPr>
      </w:pPr>
      <w:r>
        <w:rPr>
          <w:rFonts w:eastAsia="楷体_GB2312"/>
          <w:b/>
          <w:sz w:val="32"/>
          <w:szCs w:val="32"/>
          <w:lang w:bidi="ar"/>
        </w:rPr>
        <w:t>——劳动效率目标。</w:t>
      </w:r>
      <w:r>
        <w:rPr>
          <w:rFonts w:hint="eastAsia" w:ascii="仿宋_GB2312" w:hAnsi="仿宋_GB2312" w:eastAsia="仿宋_GB2312" w:cs="仿宋_GB2312"/>
          <w:sz w:val="32"/>
          <w:szCs w:val="32"/>
          <w:lang w:bidi="ar"/>
        </w:rPr>
        <w:t>2022年，公司主要化工产品劳动效率较2020年提高8%。</w:t>
      </w:r>
    </w:p>
    <w:p>
      <w:pPr>
        <w:spacing w:line="560" w:lineRule="exact"/>
        <w:ind w:firstLine="643" w:firstLineChars="200"/>
        <w:rPr>
          <w:rFonts w:eastAsia="仿宋_GB2312"/>
          <w:sz w:val="32"/>
          <w:szCs w:val="32"/>
        </w:rPr>
      </w:pPr>
      <w:r>
        <w:rPr>
          <w:rFonts w:eastAsia="楷体_GB2312"/>
          <w:b/>
          <w:sz w:val="32"/>
          <w:szCs w:val="32"/>
          <w:lang w:bidi="ar"/>
        </w:rPr>
        <w:t>——考核评价目标。</w:t>
      </w:r>
      <w:r>
        <w:rPr>
          <w:rFonts w:hint="eastAsia" w:ascii="仿宋_GB2312" w:hAnsi="仿宋_GB2312" w:eastAsia="仿宋_GB2312" w:cs="仿宋_GB2312"/>
          <w:color w:val="333333"/>
          <w:kern w:val="0"/>
          <w:sz w:val="32"/>
          <w:szCs w:val="32"/>
          <w:lang w:bidi="ar"/>
        </w:rPr>
        <w:t>2021年，建立科学合理的岗位考核评价体系，客观公正组织考核评价，将考核结果与薪酬增减、职务升降和岗位调整紧密挂钩；</w:t>
      </w:r>
      <w:r>
        <w:rPr>
          <w:rFonts w:hint="eastAsia" w:ascii="仿宋_GB2312" w:hAnsi="仿宋_GB2312" w:eastAsia="仿宋_GB2312" w:cs="仿宋_GB2312"/>
          <w:sz w:val="32"/>
          <w:szCs w:val="32"/>
          <w:lang w:bidi="ar"/>
        </w:rPr>
        <w:t>职工</w:t>
      </w:r>
      <w:r>
        <w:rPr>
          <w:rFonts w:hint="eastAsia" w:ascii="仿宋_GB2312" w:hAnsi="仿宋_GB2312" w:eastAsia="仿宋_GB2312" w:cs="仿宋_GB2312"/>
          <w:color w:val="333333"/>
          <w:kern w:val="0"/>
          <w:sz w:val="32"/>
          <w:szCs w:val="32"/>
          <w:lang w:bidi="ar"/>
        </w:rPr>
        <w:t>劳动合同、岗位聘任合同、业绩考核合同签订率和履约率均达到100%。</w:t>
      </w:r>
    </w:p>
    <w:p>
      <w:pPr>
        <w:spacing w:line="560" w:lineRule="exact"/>
        <w:ind w:firstLine="643" w:firstLineChars="200"/>
        <w:rPr>
          <w:rFonts w:eastAsia="仿宋_GB2312"/>
          <w:sz w:val="32"/>
          <w:szCs w:val="32"/>
        </w:rPr>
      </w:pPr>
      <w:r>
        <w:rPr>
          <w:rFonts w:eastAsia="楷体_GB2312"/>
          <w:b/>
          <w:sz w:val="32"/>
          <w:szCs w:val="32"/>
          <w:lang w:bidi="ar"/>
        </w:rPr>
        <w:t>——薪酬激励目标。</w:t>
      </w:r>
      <w:r>
        <w:rPr>
          <w:rFonts w:hint="eastAsia" w:ascii="仿宋_GB2312" w:hAnsi="仿宋_GB2312" w:eastAsia="仿宋_GB2312" w:cs="仿宋_GB2312"/>
          <w:sz w:val="32"/>
          <w:szCs w:val="32"/>
          <w:lang w:bidi="ar"/>
        </w:rPr>
        <w:t>2021年至2022年，</w:t>
      </w:r>
      <w:r>
        <w:rPr>
          <w:rFonts w:eastAsia="仿宋_GB2312"/>
          <w:color w:val="333333"/>
          <w:kern w:val="0"/>
          <w:sz w:val="32"/>
          <w:szCs w:val="32"/>
          <w:lang w:bidi="ar"/>
        </w:rPr>
        <w:t>普遍推行差异化工资分配，建立中长期激励机制，增强</w:t>
      </w:r>
      <w:r>
        <w:rPr>
          <w:rFonts w:eastAsia="仿宋_GB2312"/>
          <w:color w:val="000000"/>
          <w:sz w:val="32"/>
          <w:szCs w:val="32"/>
          <w:shd w:val="clear" w:color="auto" w:fill="FFFFFF"/>
          <w:lang w:bidi="ar"/>
        </w:rPr>
        <w:t>生产一线岗位、关键岗位人员和紧缺急需的高层次、高技能人才</w:t>
      </w:r>
      <w:r>
        <w:rPr>
          <w:rFonts w:eastAsia="仿宋_GB2312"/>
          <w:color w:val="333333"/>
          <w:kern w:val="0"/>
          <w:sz w:val="32"/>
          <w:szCs w:val="32"/>
          <w:lang w:bidi="ar"/>
        </w:rPr>
        <w:t>薪酬水平市场竞争力。</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三、重点任务</w:t>
      </w:r>
    </w:p>
    <w:p>
      <w:pPr>
        <w:spacing w:line="560" w:lineRule="exact"/>
        <w:ind w:firstLine="643" w:firstLineChars="200"/>
        <w:rPr>
          <w:rFonts w:eastAsia="楷体_GB2312"/>
          <w:b/>
          <w:sz w:val="32"/>
          <w:szCs w:val="32"/>
          <w:lang w:bidi="ar"/>
        </w:rPr>
      </w:pPr>
      <w:r>
        <w:rPr>
          <w:rFonts w:eastAsia="楷体_GB2312"/>
          <w:b/>
          <w:sz w:val="32"/>
          <w:szCs w:val="32"/>
          <w:lang w:bidi="ar"/>
        </w:rPr>
        <w:t>（一）建立以劳动合同管理为基础</w:t>
      </w:r>
      <w:r>
        <w:rPr>
          <w:rFonts w:hint="eastAsia" w:eastAsia="楷体_GB2312"/>
          <w:b/>
          <w:sz w:val="32"/>
          <w:szCs w:val="32"/>
          <w:lang w:bidi="ar"/>
        </w:rPr>
        <w:t>、</w:t>
      </w:r>
      <w:r>
        <w:rPr>
          <w:rFonts w:eastAsia="楷体_GB2312"/>
          <w:b/>
          <w:sz w:val="32"/>
          <w:szCs w:val="32"/>
          <w:lang w:bidi="ar"/>
        </w:rPr>
        <w:t>岗位管理为核心的劳动用工机制</w:t>
      </w:r>
      <w:r>
        <w:rPr>
          <w:rFonts w:hint="eastAsia" w:eastAsia="楷体_GB2312"/>
          <w:b/>
          <w:sz w:val="32"/>
          <w:szCs w:val="32"/>
          <w:lang w:bidi="ar"/>
        </w:rPr>
        <w:t>，</w:t>
      </w:r>
      <w:r>
        <w:rPr>
          <w:rFonts w:eastAsia="楷体_GB2312"/>
          <w:b/>
          <w:sz w:val="32"/>
          <w:szCs w:val="32"/>
          <w:lang w:bidi="ar"/>
        </w:rPr>
        <w:t>畅通职业发展通道</w:t>
      </w:r>
      <w:r>
        <w:rPr>
          <w:rFonts w:hint="eastAsia" w:eastAsia="楷体_GB2312"/>
          <w:b/>
          <w:sz w:val="32"/>
          <w:szCs w:val="32"/>
          <w:lang w:bidi="ar"/>
        </w:rPr>
        <w:t>，</w:t>
      </w:r>
      <w:r>
        <w:rPr>
          <w:rFonts w:eastAsia="楷体_GB2312"/>
          <w:b/>
          <w:sz w:val="32"/>
          <w:szCs w:val="32"/>
          <w:lang w:bidi="ar"/>
        </w:rPr>
        <w:t>实现人员能进</w:t>
      </w:r>
      <w:r>
        <w:rPr>
          <w:rFonts w:hint="eastAsia" w:eastAsia="楷体_GB2312"/>
          <w:b/>
          <w:sz w:val="32"/>
          <w:szCs w:val="32"/>
          <w:lang w:eastAsia="zh-CN" w:bidi="ar"/>
        </w:rPr>
        <w:t>能</w:t>
      </w:r>
      <w:r>
        <w:rPr>
          <w:rFonts w:eastAsia="楷体_GB2312"/>
          <w:b/>
          <w:sz w:val="32"/>
          <w:szCs w:val="32"/>
          <w:lang w:bidi="ar"/>
        </w:rPr>
        <w:t>出</w:t>
      </w:r>
      <w:r>
        <w:rPr>
          <w:rFonts w:hint="eastAsia" w:eastAsia="楷体_GB2312"/>
          <w:b/>
          <w:sz w:val="32"/>
          <w:szCs w:val="32"/>
          <w:lang w:bidi="ar"/>
        </w:rPr>
        <w:t>。</w:t>
      </w:r>
    </w:p>
    <w:p>
      <w:pPr>
        <w:spacing w:line="560" w:lineRule="exact"/>
        <w:ind w:firstLine="643" w:firstLineChars="200"/>
        <w:rPr>
          <w:rFonts w:eastAsia="楷体_GB2312"/>
          <w:b/>
          <w:sz w:val="32"/>
          <w:szCs w:val="32"/>
          <w:lang w:bidi="ar"/>
        </w:rPr>
      </w:pPr>
      <w:r>
        <w:rPr>
          <w:rFonts w:hint="eastAsia" w:ascii="仿宋_GB2312" w:hAnsi="仿宋_GB2312" w:eastAsia="仿宋_GB2312" w:cs="仿宋_GB2312"/>
          <w:b/>
          <w:color w:val="333333"/>
          <w:kern w:val="0"/>
          <w:sz w:val="32"/>
          <w:szCs w:val="32"/>
          <w:lang w:bidi="ar"/>
        </w:rPr>
        <w:t>1.强化劳动合同管理，严肃职工奖惩。</w:t>
      </w:r>
      <w:r>
        <w:rPr>
          <w:rFonts w:hint="eastAsia" w:ascii="仿宋_GB2312" w:eastAsia="仿宋_GB2312"/>
          <w:sz w:val="32"/>
          <w:szCs w:val="32"/>
        </w:rPr>
        <w:t>依据法律法规、集团公司政策规定要求，建立健全劳动纪律、岗位职责体系和劳动合同期履行情况考核等各项规章制度，</w:t>
      </w:r>
      <w:r>
        <w:rPr>
          <w:rFonts w:eastAsia="仿宋_GB2312"/>
          <w:sz w:val="32"/>
          <w:szCs w:val="32"/>
          <w:lang w:bidi="ar"/>
        </w:rPr>
        <w:t>细化劳动合同期限、</w:t>
      </w:r>
      <w:r>
        <w:rPr>
          <w:rFonts w:hint="eastAsia" w:eastAsia="仿宋_GB2312"/>
          <w:sz w:val="32"/>
          <w:szCs w:val="32"/>
          <w:lang w:bidi="ar"/>
        </w:rPr>
        <w:t>岗位</w:t>
      </w:r>
      <w:r>
        <w:rPr>
          <w:rFonts w:eastAsia="仿宋_GB2312"/>
          <w:sz w:val="32"/>
          <w:szCs w:val="32"/>
          <w:lang w:bidi="ar"/>
        </w:rPr>
        <w:t>职责、劳动纪律、绩效要求、终止解除条件、违约责任等条款，明确权利义务，强化劳动合同的约束和保障作用，积极构建和谐劳动关系；推行</w:t>
      </w:r>
      <w:r>
        <w:rPr>
          <w:rFonts w:eastAsia="仿宋_GB2312"/>
          <w:color w:val="333333"/>
          <w:kern w:val="0"/>
          <w:sz w:val="32"/>
          <w:szCs w:val="32"/>
          <w:lang w:bidi="ar"/>
        </w:rPr>
        <w:t>劳动合同履行情况常态化考核，规范劳动合同续订、变更、终止、解除等管理，实现人员</w:t>
      </w:r>
      <w:r>
        <w:rPr>
          <w:rFonts w:hint="eastAsia" w:ascii="仿宋_GB2312" w:hAnsi="仿宋_GB2312" w:eastAsia="仿宋_GB2312" w:cs="仿宋_GB2312"/>
          <w:color w:val="333333"/>
          <w:kern w:val="0"/>
          <w:sz w:val="32"/>
          <w:szCs w:val="32"/>
          <w:lang w:bidi="ar"/>
        </w:rPr>
        <w:t>“能出”</w:t>
      </w:r>
      <w:r>
        <w:rPr>
          <w:rFonts w:eastAsia="仿宋_GB2312"/>
          <w:color w:val="333333"/>
          <w:kern w:val="0"/>
          <w:sz w:val="32"/>
          <w:szCs w:val="32"/>
          <w:lang w:bidi="ar"/>
        </w:rPr>
        <w:t>有理有据、依法合规。（责任部门：</w:t>
      </w:r>
      <w:r>
        <w:rPr>
          <w:rFonts w:hint="eastAsia" w:eastAsia="仿宋_GB2312"/>
          <w:color w:val="333333"/>
          <w:kern w:val="0"/>
          <w:sz w:val="32"/>
          <w:szCs w:val="32"/>
          <w:lang w:bidi="ar"/>
        </w:rPr>
        <w:t>人力资源部</w:t>
      </w:r>
      <w:r>
        <w:rPr>
          <w:rFonts w:eastAsia="仿宋_GB2312"/>
          <w:color w:val="333333"/>
          <w:kern w:val="0"/>
          <w:sz w:val="32"/>
          <w:szCs w:val="32"/>
          <w:lang w:bidi="ar"/>
        </w:rPr>
        <w:t>）</w:t>
      </w:r>
    </w:p>
    <w:p>
      <w:pPr>
        <w:spacing w:line="56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color w:val="333333"/>
          <w:kern w:val="0"/>
          <w:sz w:val="32"/>
          <w:szCs w:val="32"/>
          <w:lang w:bidi="ar"/>
        </w:rPr>
        <w:t>2.</w:t>
      </w:r>
      <w:r>
        <w:rPr>
          <w:rFonts w:eastAsia="仿宋_GB2312"/>
          <w:b/>
          <w:color w:val="333333"/>
          <w:kern w:val="0"/>
          <w:sz w:val="32"/>
          <w:szCs w:val="32"/>
          <w:lang w:bidi="ar"/>
        </w:rPr>
        <w:t>优化机构设置</w:t>
      </w:r>
      <w:r>
        <w:rPr>
          <w:rFonts w:hint="eastAsia" w:eastAsia="仿宋_GB2312"/>
          <w:b/>
          <w:color w:val="333333"/>
          <w:kern w:val="0"/>
          <w:sz w:val="32"/>
          <w:szCs w:val="32"/>
          <w:lang w:bidi="ar"/>
        </w:rPr>
        <w:t>，</w:t>
      </w:r>
      <w:r>
        <w:rPr>
          <w:rFonts w:eastAsia="仿宋_GB2312"/>
          <w:b/>
          <w:color w:val="333333"/>
          <w:kern w:val="0"/>
          <w:sz w:val="32"/>
          <w:szCs w:val="32"/>
          <w:lang w:bidi="ar"/>
        </w:rPr>
        <w:t>推行岗位管理。</w:t>
      </w:r>
      <w:r>
        <w:rPr>
          <w:rFonts w:hint="eastAsia" w:ascii="仿宋_GB2312" w:eastAsia="仿宋_GB2312"/>
          <w:sz w:val="32"/>
          <w:szCs w:val="32"/>
        </w:rPr>
        <w:t>积极推进机构调整、人员配置等工作，以总量控制、精干高效为原则，配备三大序列岗位人员。</w:t>
      </w:r>
      <w:r>
        <w:rPr>
          <w:rFonts w:eastAsia="仿宋_GB2312"/>
          <w:color w:val="333333"/>
          <w:kern w:val="0"/>
          <w:sz w:val="32"/>
          <w:szCs w:val="32"/>
          <w:lang w:bidi="ar"/>
        </w:rPr>
        <w:t>加强岗位标准化建设，建立健全管理、技术、技能三大序列岗位职级管理体系，以及与之对应的聘用、考核、升降制度，变身份管理为岗位管理。规范签订岗位聘任合同，明确各层级各岗位的岗位职责、任职条件和工作内容，加强岗位业绩考核，形成因事设岗、以岗定人、人岗匹配、易岗易薪的岗位职级动态管理机制。逐步完善三大岗位序列纵向畅通、横向贯通的人才发展机制，打通不同岗位、不同人才之间互相转换的交流路径，鼓励立足岗位，实现岗位成才。</w:t>
      </w:r>
      <w:r>
        <w:rPr>
          <w:rFonts w:hint="eastAsia" w:eastAsia="仿宋_GB2312"/>
          <w:color w:val="333333"/>
          <w:kern w:val="0"/>
          <w:sz w:val="32"/>
          <w:szCs w:val="32"/>
          <w:lang w:bidi="ar"/>
        </w:rPr>
        <w:t>三大序列职位等级对应关系见图表</w:t>
      </w:r>
      <w:r>
        <w:rPr>
          <w:rFonts w:hint="eastAsia" w:ascii="仿宋_GB2312" w:hAnsi="仿宋_GB2312" w:eastAsia="仿宋_GB2312" w:cs="仿宋_GB2312"/>
          <w:color w:val="333333"/>
          <w:kern w:val="0"/>
          <w:sz w:val="32"/>
          <w:szCs w:val="32"/>
          <w:lang w:bidi="ar"/>
        </w:rPr>
        <w:t>1</w:t>
      </w:r>
      <w:r>
        <w:rPr>
          <w:rFonts w:hint="eastAsia" w:eastAsia="仿宋_GB2312"/>
          <w:color w:val="333333"/>
          <w:kern w:val="0"/>
          <w:sz w:val="32"/>
          <w:szCs w:val="32"/>
          <w:lang w:bidi="ar"/>
        </w:rPr>
        <w:t>，三大序列职工发展通道见图表</w:t>
      </w:r>
      <w:r>
        <w:rPr>
          <w:rFonts w:hint="eastAsia" w:ascii="仿宋_GB2312" w:hAnsi="仿宋_GB2312" w:eastAsia="仿宋_GB2312" w:cs="仿宋_GB2312"/>
          <w:color w:val="333333"/>
          <w:kern w:val="0"/>
          <w:sz w:val="32"/>
          <w:szCs w:val="32"/>
          <w:lang w:bidi="ar"/>
        </w:rPr>
        <w:t>2。（责任部门：人力资源部）</w:t>
      </w:r>
    </w:p>
    <w:p>
      <w:pPr>
        <w:spacing w:line="560" w:lineRule="exact"/>
        <w:jc w:val="center"/>
        <w:rPr>
          <w:rFonts w:ascii="Times New Roman" w:hAnsi="Times New Roman" w:eastAsia="仿宋_GB2312" w:cs="Times New Roman"/>
          <w:sz w:val="32"/>
          <w:szCs w:val="32"/>
          <w:highlight w:val="yellow"/>
        </w:rPr>
      </w:pPr>
      <w:r>
        <w:rPr>
          <w:rFonts w:hint="eastAsia" w:ascii="仿宋_GB2312" w:hAnsi="仿宋_GB2312" w:eastAsia="仿宋_GB2312" w:cs="仿宋_GB2312"/>
          <w:color w:val="333333"/>
          <w:kern w:val="0"/>
          <w:sz w:val="32"/>
          <w:szCs w:val="32"/>
          <w:lang w:bidi="ar"/>
        </w:rPr>
        <w:t>图表1：</w:t>
      </w:r>
      <w:r>
        <w:rPr>
          <w:rFonts w:hint="eastAsia" w:ascii="仿宋_GB2312" w:hAnsi="仿宋_GB2312" w:eastAsia="仿宋_GB2312" w:cs="仿宋_GB2312"/>
          <w:sz w:val="32"/>
          <w:szCs w:val="32"/>
        </w:rPr>
        <w:t>三大序列职</w:t>
      </w:r>
      <w:r>
        <w:rPr>
          <w:rFonts w:ascii="Times New Roman" w:hAnsi="Times New Roman" w:eastAsia="仿宋_GB2312" w:cs="Times New Roman"/>
          <w:sz w:val="32"/>
          <w:szCs w:val="32"/>
        </w:rPr>
        <w:t>位等级对应关系</w:t>
      </w:r>
    </w:p>
    <w:tbl>
      <w:tblPr>
        <w:tblStyle w:val="4"/>
        <w:tblW w:w="9027" w:type="dxa"/>
        <w:jc w:val="center"/>
        <w:tblLayout w:type="fixed"/>
        <w:tblCellMar>
          <w:top w:w="15" w:type="dxa"/>
          <w:left w:w="15" w:type="dxa"/>
          <w:bottom w:w="15" w:type="dxa"/>
          <w:right w:w="15" w:type="dxa"/>
        </w:tblCellMar>
      </w:tblPr>
      <w:tblGrid>
        <w:gridCol w:w="1037"/>
        <w:gridCol w:w="607"/>
        <w:gridCol w:w="1030"/>
        <w:gridCol w:w="1161"/>
        <w:gridCol w:w="613"/>
        <w:gridCol w:w="1552"/>
        <w:gridCol w:w="1292"/>
        <w:gridCol w:w="600"/>
        <w:gridCol w:w="1135"/>
      </w:tblGrid>
      <w:tr>
        <w:tblPrEx>
          <w:tblCellMar>
            <w:top w:w="15" w:type="dxa"/>
            <w:left w:w="15" w:type="dxa"/>
            <w:bottom w:w="15" w:type="dxa"/>
            <w:right w:w="15" w:type="dxa"/>
          </w:tblCellMar>
        </w:tblPrEx>
        <w:trPr>
          <w:trHeight w:val="850" w:hRule="atLeast"/>
          <w:jc w:val="center"/>
        </w:trPr>
        <w:tc>
          <w:tcPr>
            <w:tcW w:w="2674"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管理序列</w:t>
            </w:r>
          </w:p>
        </w:tc>
        <w:tc>
          <w:tcPr>
            <w:tcW w:w="3326"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专业序列</w:t>
            </w:r>
          </w:p>
        </w:tc>
        <w:tc>
          <w:tcPr>
            <w:tcW w:w="3027"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操作序列</w:t>
            </w:r>
          </w:p>
        </w:tc>
      </w:tr>
      <w:tr>
        <w:tblPrEx>
          <w:tblCellMar>
            <w:top w:w="15" w:type="dxa"/>
            <w:left w:w="15" w:type="dxa"/>
            <w:bottom w:w="15" w:type="dxa"/>
            <w:right w:w="15" w:type="dxa"/>
          </w:tblCellMar>
        </w:tblPrEx>
        <w:trPr>
          <w:trHeight w:val="788" w:hRule="atLeast"/>
          <w:jc w:val="center"/>
        </w:trPr>
        <w:tc>
          <w:tcPr>
            <w:tcW w:w="10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原级别</w:t>
            </w:r>
          </w:p>
        </w:tc>
        <w:tc>
          <w:tcPr>
            <w:tcW w:w="163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新岗位层级</w:t>
            </w:r>
          </w:p>
        </w:tc>
        <w:tc>
          <w:tcPr>
            <w:tcW w:w="11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原岗位</w:t>
            </w:r>
          </w:p>
        </w:tc>
        <w:tc>
          <w:tcPr>
            <w:tcW w:w="216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新岗位层级</w:t>
            </w:r>
          </w:p>
        </w:tc>
        <w:tc>
          <w:tcPr>
            <w:tcW w:w="129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kern w:val="0"/>
                <w:szCs w:val="21"/>
              </w:rPr>
              <w:t>原岗位</w:t>
            </w:r>
          </w:p>
        </w:tc>
        <w:tc>
          <w:tcPr>
            <w:tcW w:w="173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新岗位层级</w:t>
            </w:r>
          </w:p>
        </w:tc>
      </w:tr>
      <w:tr>
        <w:tblPrEx>
          <w:tblCellMar>
            <w:top w:w="15" w:type="dxa"/>
            <w:left w:w="15" w:type="dxa"/>
            <w:bottom w:w="15" w:type="dxa"/>
            <w:right w:w="15" w:type="dxa"/>
          </w:tblCellMar>
        </w:tblPrEx>
        <w:trPr>
          <w:trHeight w:val="435" w:hRule="atLeast"/>
          <w:jc w:val="center"/>
        </w:trPr>
        <w:tc>
          <w:tcPr>
            <w:tcW w:w="10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正处级</w:t>
            </w:r>
          </w:p>
        </w:tc>
        <w:tc>
          <w:tcPr>
            <w:tcW w:w="607"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M5</w:t>
            </w:r>
          </w:p>
        </w:tc>
        <w:tc>
          <w:tcPr>
            <w:tcW w:w="1030"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textAlignment w:val="center"/>
              <w:rPr>
                <w:rFonts w:ascii="宋体" w:hAnsi="宋体" w:cs="宋体"/>
                <w:color w:val="000000"/>
                <w:szCs w:val="21"/>
              </w:rPr>
            </w:pPr>
            <w:r>
              <w:rPr>
                <w:rFonts w:hint="eastAsia" w:ascii="宋体" w:hAnsi="宋体" w:cs="宋体"/>
                <w:color w:val="000000"/>
                <w:szCs w:val="21"/>
              </w:rPr>
              <w:t>班子正职</w:t>
            </w:r>
          </w:p>
        </w:tc>
        <w:tc>
          <w:tcPr>
            <w:tcW w:w="11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Cs w:val="21"/>
              </w:rPr>
            </w:pPr>
          </w:p>
        </w:tc>
        <w:tc>
          <w:tcPr>
            <w:tcW w:w="613"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P9</w:t>
            </w:r>
          </w:p>
        </w:tc>
        <w:tc>
          <w:tcPr>
            <w:tcW w:w="15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高级专家</w:t>
            </w:r>
          </w:p>
        </w:tc>
        <w:tc>
          <w:tcPr>
            <w:tcW w:w="129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60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13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r>
      <w:tr>
        <w:tblPrEx>
          <w:tblCellMar>
            <w:top w:w="15" w:type="dxa"/>
            <w:left w:w="15" w:type="dxa"/>
            <w:bottom w:w="15" w:type="dxa"/>
            <w:right w:w="15" w:type="dxa"/>
          </w:tblCellMar>
        </w:tblPrEx>
        <w:trPr>
          <w:trHeight w:val="435" w:hRule="atLeast"/>
          <w:jc w:val="center"/>
        </w:trPr>
        <w:tc>
          <w:tcPr>
            <w:tcW w:w="10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副处级</w:t>
            </w:r>
          </w:p>
        </w:tc>
        <w:tc>
          <w:tcPr>
            <w:tcW w:w="6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M4</w:t>
            </w:r>
          </w:p>
        </w:tc>
        <w:tc>
          <w:tcPr>
            <w:tcW w:w="1030" w:type="dxa"/>
            <w:tcBorders>
              <w:top w:val="single" w:color="auto" w:sz="4" w:space="0"/>
              <w:left w:val="single" w:color="000000" w:sz="4" w:space="0"/>
              <w:bottom w:val="single" w:color="000000" w:sz="4" w:space="0"/>
              <w:right w:val="single" w:color="000000" w:sz="4" w:space="0"/>
            </w:tcBorders>
            <w:vAlign w:val="center"/>
          </w:tcPr>
          <w:p>
            <w:pPr>
              <w:spacing w:line="480" w:lineRule="exact"/>
              <w:jc w:val="center"/>
              <w:rPr>
                <w:rFonts w:ascii="宋体" w:hAnsi="宋体" w:cs="宋体"/>
                <w:color w:val="000000"/>
                <w:szCs w:val="21"/>
              </w:rPr>
            </w:pPr>
            <w:r>
              <w:rPr>
                <w:rFonts w:hint="eastAsia" w:ascii="宋体" w:hAnsi="宋体" w:cs="宋体"/>
                <w:color w:val="000000"/>
                <w:kern w:val="0"/>
                <w:szCs w:val="21"/>
              </w:rPr>
              <w:t>班子副职</w:t>
            </w:r>
          </w:p>
        </w:tc>
        <w:tc>
          <w:tcPr>
            <w:tcW w:w="1161" w:type="dxa"/>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6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P8</w:t>
            </w:r>
          </w:p>
        </w:tc>
        <w:tc>
          <w:tcPr>
            <w:tcW w:w="15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专家</w:t>
            </w:r>
          </w:p>
        </w:tc>
        <w:tc>
          <w:tcPr>
            <w:tcW w:w="129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60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13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r>
      <w:tr>
        <w:tblPrEx>
          <w:tblCellMar>
            <w:top w:w="15" w:type="dxa"/>
            <w:left w:w="15" w:type="dxa"/>
            <w:bottom w:w="15" w:type="dxa"/>
            <w:right w:w="15" w:type="dxa"/>
          </w:tblCellMar>
        </w:tblPrEx>
        <w:trPr>
          <w:trHeight w:val="490" w:hRule="atLeast"/>
          <w:jc w:val="center"/>
        </w:trPr>
        <w:tc>
          <w:tcPr>
            <w:tcW w:w="103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副总师级</w:t>
            </w:r>
          </w:p>
        </w:tc>
        <w:tc>
          <w:tcPr>
            <w:tcW w:w="6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M3</w:t>
            </w:r>
          </w:p>
        </w:tc>
        <w:tc>
          <w:tcPr>
            <w:tcW w:w="1030" w:type="dxa"/>
            <w:tcBorders>
              <w:top w:val="single" w:color="000000" w:sz="4" w:space="0"/>
              <w:left w:val="single" w:color="000000" w:sz="4" w:space="0"/>
              <w:bottom w:val="single" w:color="000000" w:sz="4" w:space="0"/>
              <w:right w:val="single" w:color="000000" w:sz="4" w:space="0"/>
            </w:tcBorders>
            <w:vAlign w:val="center"/>
          </w:tcPr>
          <w:p>
            <w:pPr>
              <w:spacing w:line="480" w:lineRule="exact"/>
              <w:jc w:val="center"/>
              <w:rPr>
                <w:rFonts w:ascii="宋体" w:hAnsi="宋体" w:cs="宋体"/>
                <w:color w:val="000000"/>
                <w:kern w:val="0"/>
                <w:szCs w:val="21"/>
              </w:rPr>
            </w:pPr>
            <w:r>
              <w:rPr>
                <w:rFonts w:hint="eastAsia" w:ascii="宋体" w:hAnsi="宋体" w:cs="宋体"/>
                <w:color w:val="000000"/>
                <w:szCs w:val="21"/>
              </w:rPr>
              <w:t>副总师</w:t>
            </w:r>
          </w:p>
        </w:tc>
        <w:tc>
          <w:tcPr>
            <w:tcW w:w="11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p>
        </w:tc>
        <w:tc>
          <w:tcPr>
            <w:tcW w:w="6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P7</w:t>
            </w:r>
          </w:p>
        </w:tc>
        <w:tc>
          <w:tcPr>
            <w:tcW w:w="15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资深主管</w:t>
            </w:r>
          </w:p>
        </w:tc>
        <w:tc>
          <w:tcPr>
            <w:tcW w:w="129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spacing w:line="480" w:lineRule="exact"/>
              <w:jc w:val="center"/>
              <w:textAlignment w:val="center"/>
              <w:rPr>
                <w:rFonts w:ascii="宋体" w:hAnsi="宋体" w:cs="宋体"/>
                <w:color w:val="000000"/>
                <w:szCs w:val="21"/>
              </w:rPr>
            </w:pPr>
            <w:r>
              <w:rPr>
                <w:rFonts w:hint="eastAsia" w:ascii="宋体" w:hAnsi="宋体" w:cs="宋体"/>
                <w:color w:val="000000"/>
                <w:kern w:val="0"/>
                <w:szCs w:val="21"/>
              </w:rPr>
              <w:t>W8</w:t>
            </w:r>
          </w:p>
        </w:tc>
        <w:tc>
          <w:tcPr>
            <w:tcW w:w="1135" w:type="dxa"/>
            <w:tcBorders>
              <w:top w:val="single" w:color="000000" w:sz="4" w:space="0"/>
              <w:left w:val="single" w:color="000000" w:sz="4" w:space="0"/>
              <w:bottom w:val="single" w:color="000000" w:sz="4" w:space="0"/>
              <w:right w:val="single" w:color="000000" w:sz="4" w:space="0"/>
            </w:tcBorders>
            <w:vAlign w:val="center"/>
          </w:tcPr>
          <w:p>
            <w:pPr>
              <w:widowControl/>
              <w:spacing w:line="480" w:lineRule="exact"/>
              <w:jc w:val="center"/>
              <w:textAlignment w:val="center"/>
              <w:rPr>
                <w:rFonts w:ascii="宋体" w:hAnsi="宋体" w:cs="宋体"/>
                <w:color w:val="000000"/>
                <w:szCs w:val="21"/>
              </w:rPr>
            </w:pPr>
            <w:r>
              <w:rPr>
                <w:rFonts w:hint="eastAsia" w:ascii="宋体" w:hAnsi="宋体" w:cs="宋体"/>
                <w:color w:val="000000"/>
                <w:kern w:val="0"/>
                <w:szCs w:val="21"/>
              </w:rPr>
              <w:t>首席技师　</w:t>
            </w:r>
          </w:p>
        </w:tc>
      </w:tr>
      <w:tr>
        <w:tblPrEx>
          <w:tblCellMar>
            <w:top w:w="15" w:type="dxa"/>
            <w:left w:w="15" w:type="dxa"/>
            <w:bottom w:w="15" w:type="dxa"/>
            <w:right w:w="15" w:type="dxa"/>
          </w:tblCellMar>
        </w:tblPrEx>
        <w:trPr>
          <w:trHeight w:val="490" w:hRule="atLeast"/>
          <w:jc w:val="center"/>
        </w:trPr>
        <w:tc>
          <w:tcPr>
            <w:tcW w:w="10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正科级</w:t>
            </w:r>
          </w:p>
        </w:tc>
        <w:tc>
          <w:tcPr>
            <w:tcW w:w="6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M2</w:t>
            </w:r>
          </w:p>
        </w:tc>
        <w:tc>
          <w:tcPr>
            <w:tcW w:w="1030" w:type="dxa"/>
            <w:tcBorders>
              <w:top w:val="single" w:color="000000" w:sz="4" w:space="0"/>
              <w:left w:val="single" w:color="000000" w:sz="4" w:space="0"/>
              <w:bottom w:val="single" w:color="000000" w:sz="4" w:space="0"/>
              <w:right w:val="single" w:color="000000" w:sz="4" w:space="0"/>
            </w:tcBorders>
            <w:vAlign w:val="center"/>
          </w:tcPr>
          <w:p>
            <w:pPr>
              <w:widowControl/>
              <w:spacing w:line="480" w:lineRule="exact"/>
              <w:jc w:val="center"/>
              <w:textAlignment w:val="center"/>
              <w:rPr>
                <w:rFonts w:ascii="宋体" w:hAnsi="宋体" w:cs="宋体"/>
                <w:color w:val="FF0000"/>
                <w:szCs w:val="21"/>
              </w:rPr>
            </w:pPr>
            <w:r>
              <w:rPr>
                <w:rFonts w:hint="eastAsia" w:ascii="宋体" w:hAnsi="宋体" w:cs="宋体"/>
                <w:color w:val="000000"/>
                <w:kern w:val="0"/>
                <w:szCs w:val="21"/>
              </w:rPr>
              <w:t>部门正职</w:t>
            </w:r>
          </w:p>
        </w:tc>
        <w:tc>
          <w:tcPr>
            <w:tcW w:w="116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FF0000"/>
                <w:szCs w:val="21"/>
              </w:rPr>
            </w:pPr>
          </w:p>
        </w:tc>
        <w:tc>
          <w:tcPr>
            <w:tcW w:w="6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P6</w:t>
            </w:r>
          </w:p>
        </w:tc>
        <w:tc>
          <w:tcPr>
            <w:tcW w:w="15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高级主管</w:t>
            </w:r>
          </w:p>
        </w:tc>
        <w:tc>
          <w:tcPr>
            <w:tcW w:w="129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spacing w:line="480" w:lineRule="exact"/>
              <w:jc w:val="center"/>
              <w:textAlignment w:val="center"/>
              <w:rPr>
                <w:rFonts w:ascii="宋体" w:hAnsi="宋体" w:cs="宋体"/>
                <w:color w:val="000000"/>
                <w:szCs w:val="21"/>
              </w:rPr>
            </w:pPr>
            <w:r>
              <w:rPr>
                <w:rFonts w:hint="eastAsia" w:ascii="宋体" w:hAnsi="宋体" w:cs="宋体"/>
                <w:color w:val="000000"/>
                <w:kern w:val="0"/>
                <w:szCs w:val="21"/>
              </w:rPr>
              <w:t>W7</w:t>
            </w:r>
          </w:p>
        </w:tc>
        <w:tc>
          <w:tcPr>
            <w:tcW w:w="1135" w:type="dxa"/>
            <w:tcBorders>
              <w:top w:val="single" w:color="000000" w:sz="4" w:space="0"/>
              <w:left w:val="single" w:color="000000" w:sz="4" w:space="0"/>
              <w:bottom w:val="single" w:color="000000" w:sz="4" w:space="0"/>
              <w:right w:val="single" w:color="000000" w:sz="4" w:space="0"/>
            </w:tcBorders>
            <w:vAlign w:val="center"/>
          </w:tcPr>
          <w:p>
            <w:pPr>
              <w:widowControl/>
              <w:spacing w:line="480" w:lineRule="exact"/>
              <w:jc w:val="center"/>
              <w:textAlignment w:val="center"/>
              <w:rPr>
                <w:rFonts w:ascii="宋体" w:hAnsi="宋体" w:cs="宋体"/>
                <w:color w:val="000000"/>
                <w:szCs w:val="21"/>
              </w:rPr>
            </w:pPr>
            <w:r>
              <w:rPr>
                <w:rFonts w:hint="eastAsia" w:ascii="宋体" w:hAnsi="宋体" w:cs="宋体"/>
                <w:color w:val="000000"/>
                <w:kern w:val="0"/>
                <w:szCs w:val="21"/>
              </w:rPr>
              <w:t>高级技师</w:t>
            </w:r>
          </w:p>
        </w:tc>
      </w:tr>
      <w:tr>
        <w:tblPrEx>
          <w:tblCellMar>
            <w:top w:w="15" w:type="dxa"/>
            <w:left w:w="15" w:type="dxa"/>
            <w:bottom w:w="15" w:type="dxa"/>
            <w:right w:w="15" w:type="dxa"/>
          </w:tblCellMar>
        </w:tblPrEx>
        <w:trPr>
          <w:trHeight w:val="490" w:hRule="atLeast"/>
          <w:jc w:val="center"/>
        </w:trPr>
        <w:tc>
          <w:tcPr>
            <w:tcW w:w="10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副科级</w:t>
            </w:r>
          </w:p>
        </w:tc>
        <w:tc>
          <w:tcPr>
            <w:tcW w:w="6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M1</w:t>
            </w:r>
          </w:p>
        </w:tc>
        <w:tc>
          <w:tcPr>
            <w:tcW w:w="1030" w:type="dxa"/>
            <w:tcBorders>
              <w:top w:val="single" w:color="000000" w:sz="4" w:space="0"/>
              <w:left w:val="single" w:color="000000" w:sz="4" w:space="0"/>
              <w:bottom w:val="single" w:color="000000" w:sz="4" w:space="0"/>
              <w:right w:val="single" w:color="000000" w:sz="4" w:space="0"/>
            </w:tcBorders>
            <w:vAlign w:val="center"/>
          </w:tcPr>
          <w:p>
            <w:pPr>
              <w:widowControl/>
              <w:spacing w:line="480" w:lineRule="exact"/>
              <w:jc w:val="center"/>
              <w:textAlignment w:val="center"/>
              <w:rPr>
                <w:rFonts w:ascii="宋体" w:hAnsi="宋体" w:cs="宋体"/>
                <w:kern w:val="0"/>
                <w:szCs w:val="21"/>
              </w:rPr>
            </w:pPr>
            <w:r>
              <w:rPr>
                <w:rFonts w:hint="eastAsia" w:ascii="宋体" w:hAnsi="宋体" w:cs="宋体"/>
                <w:color w:val="000000"/>
                <w:kern w:val="0"/>
                <w:szCs w:val="21"/>
              </w:rPr>
              <w:t>部门副职</w:t>
            </w:r>
          </w:p>
        </w:tc>
        <w:tc>
          <w:tcPr>
            <w:tcW w:w="11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FF0000"/>
                <w:szCs w:val="21"/>
              </w:rPr>
            </w:pPr>
          </w:p>
        </w:tc>
        <w:tc>
          <w:tcPr>
            <w:tcW w:w="6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P5</w:t>
            </w:r>
          </w:p>
        </w:tc>
        <w:tc>
          <w:tcPr>
            <w:tcW w:w="15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业务主管</w:t>
            </w:r>
          </w:p>
        </w:tc>
        <w:tc>
          <w:tcPr>
            <w:tcW w:w="12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spacing w:line="480" w:lineRule="exact"/>
              <w:jc w:val="center"/>
              <w:textAlignment w:val="center"/>
              <w:rPr>
                <w:rFonts w:ascii="宋体" w:hAnsi="宋体" w:cs="宋体"/>
                <w:color w:val="000000"/>
                <w:szCs w:val="21"/>
              </w:rPr>
            </w:pPr>
            <w:r>
              <w:rPr>
                <w:rFonts w:hint="eastAsia" w:ascii="宋体" w:hAnsi="宋体" w:cs="宋体"/>
                <w:color w:val="000000"/>
                <w:kern w:val="0"/>
                <w:szCs w:val="21"/>
              </w:rPr>
              <w:t>W6</w:t>
            </w:r>
          </w:p>
        </w:tc>
        <w:tc>
          <w:tcPr>
            <w:tcW w:w="1135" w:type="dxa"/>
            <w:tcBorders>
              <w:top w:val="single" w:color="000000" w:sz="4" w:space="0"/>
              <w:left w:val="single" w:color="000000" w:sz="4" w:space="0"/>
              <w:bottom w:val="single" w:color="000000" w:sz="4" w:space="0"/>
              <w:right w:val="single" w:color="000000" w:sz="4" w:space="0"/>
            </w:tcBorders>
            <w:vAlign w:val="center"/>
          </w:tcPr>
          <w:p>
            <w:pPr>
              <w:widowControl/>
              <w:spacing w:line="480" w:lineRule="exact"/>
              <w:jc w:val="center"/>
              <w:textAlignment w:val="center"/>
              <w:rPr>
                <w:rFonts w:ascii="宋体" w:hAnsi="宋体" w:cs="宋体"/>
                <w:color w:val="000000"/>
                <w:szCs w:val="21"/>
              </w:rPr>
            </w:pPr>
            <w:r>
              <w:rPr>
                <w:rFonts w:hint="eastAsia" w:ascii="宋体" w:hAnsi="宋体" w:cs="宋体"/>
                <w:color w:val="000000"/>
                <w:szCs w:val="21"/>
              </w:rPr>
              <w:t>主管技师</w:t>
            </w:r>
          </w:p>
        </w:tc>
      </w:tr>
      <w:tr>
        <w:tblPrEx>
          <w:tblCellMar>
            <w:top w:w="15" w:type="dxa"/>
            <w:left w:w="15" w:type="dxa"/>
            <w:bottom w:w="15" w:type="dxa"/>
            <w:right w:w="15" w:type="dxa"/>
          </w:tblCellMar>
        </w:tblPrEx>
        <w:trPr>
          <w:trHeight w:val="490" w:hRule="atLeast"/>
          <w:jc w:val="center"/>
        </w:trPr>
        <w:tc>
          <w:tcPr>
            <w:tcW w:w="103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60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030"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ascii="宋体" w:hAnsi="宋体" w:cs="宋体"/>
                <w:color w:val="000000"/>
                <w:kern w:val="0"/>
                <w:szCs w:val="21"/>
              </w:rPr>
            </w:pPr>
          </w:p>
        </w:tc>
        <w:tc>
          <w:tcPr>
            <w:tcW w:w="11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中级职称</w:t>
            </w:r>
          </w:p>
        </w:tc>
        <w:tc>
          <w:tcPr>
            <w:tcW w:w="613" w:type="dxa"/>
            <w:tcBorders>
              <w:top w:val="single" w:color="000000" w:sz="4" w:space="0"/>
              <w:left w:val="single" w:color="000000" w:sz="4" w:space="0"/>
              <w:bottom w:val="single" w:color="000000" w:sz="4" w:space="0"/>
              <w:right w:val="single" w:color="000000" w:sz="4" w:space="0"/>
            </w:tcBorders>
            <w:vAlign w:val="center"/>
          </w:tcPr>
          <w:p>
            <w:pPr>
              <w:widowControl/>
              <w:spacing w:line="480" w:lineRule="exact"/>
              <w:jc w:val="center"/>
              <w:textAlignment w:val="center"/>
              <w:rPr>
                <w:rFonts w:ascii="宋体" w:hAnsi="宋体" w:cs="宋体"/>
                <w:color w:val="000000"/>
                <w:szCs w:val="21"/>
              </w:rPr>
            </w:pPr>
            <w:r>
              <w:rPr>
                <w:rFonts w:hint="eastAsia" w:ascii="宋体" w:hAnsi="宋体" w:cs="宋体"/>
                <w:color w:val="000000"/>
                <w:kern w:val="0"/>
                <w:szCs w:val="21"/>
              </w:rPr>
              <w:t>P4</w:t>
            </w:r>
          </w:p>
        </w:tc>
        <w:tc>
          <w:tcPr>
            <w:tcW w:w="1552" w:type="dxa"/>
            <w:tcBorders>
              <w:top w:val="single" w:color="000000" w:sz="4" w:space="0"/>
              <w:left w:val="single" w:color="000000" w:sz="4" w:space="0"/>
              <w:bottom w:val="single" w:color="000000" w:sz="4" w:space="0"/>
              <w:right w:val="single" w:color="000000" w:sz="4" w:space="0"/>
            </w:tcBorders>
            <w:vAlign w:val="center"/>
          </w:tcPr>
          <w:p>
            <w:pPr>
              <w:widowControl/>
              <w:spacing w:line="480" w:lineRule="exact"/>
              <w:jc w:val="center"/>
              <w:textAlignment w:val="center"/>
              <w:rPr>
                <w:rFonts w:ascii="宋体" w:hAnsi="宋体" w:cs="宋体"/>
                <w:szCs w:val="21"/>
              </w:rPr>
            </w:pPr>
            <w:r>
              <w:rPr>
                <w:rFonts w:hint="eastAsia" w:ascii="宋体" w:hAnsi="宋体" w:cs="宋体"/>
                <w:szCs w:val="21"/>
              </w:rPr>
              <w:t>业务主办</w:t>
            </w:r>
          </w:p>
        </w:tc>
        <w:tc>
          <w:tcPr>
            <w:tcW w:w="129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FF0000"/>
                <w:szCs w:val="21"/>
              </w:rPr>
            </w:pPr>
            <w:r>
              <w:rPr>
                <w:rFonts w:hint="eastAsia" w:ascii="宋体" w:hAnsi="宋体" w:cs="宋体"/>
                <w:color w:val="000000"/>
                <w:kern w:val="0"/>
                <w:szCs w:val="21"/>
              </w:rPr>
              <w:t>队级</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spacing w:line="480" w:lineRule="exact"/>
              <w:jc w:val="center"/>
              <w:textAlignment w:val="center"/>
              <w:rPr>
                <w:rFonts w:ascii="宋体" w:hAnsi="宋体" w:cs="宋体"/>
                <w:color w:val="000000"/>
                <w:szCs w:val="21"/>
              </w:rPr>
            </w:pPr>
            <w:r>
              <w:rPr>
                <w:rFonts w:hint="eastAsia" w:ascii="宋体" w:hAnsi="宋体" w:cs="宋体"/>
                <w:color w:val="000000"/>
                <w:kern w:val="0"/>
                <w:szCs w:val="21"/>
              </w:rPr>
              <w:t>W5</w:t>
            </w:r>
          </w:p>
        </w:tc>
        <w:tc>
          <w:tcPr>
            <w:tcW w:w="113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hAnsi="宋体" w:cs="宋体"/>
                <w:color w:val="000000"/>
                <w:kern w:val="0"/>
                <w:szCs w:val="21"/>
              </w:rPr>
            </w:pPr>
            <w:r>
              <w:rPr>
                <w:rFonts w:hint="eastAsia" w:ascii="宋体" w:hAnsi="宋体" w:cs="宋体"/>
                <w:color w:val="000000"/>
                <w:kern w:val="0"/>
                <w:szCs w:val="21"/>
              </w:rPr>
              <w:t>中级技师</w:t>
            </w:r>
          </w:p>
          <w:p>
            <w:pPr>
              <w:widowControl/>
              <w:spacing w:line="320" w:lineRule="exact"/>
              <w:jc w:val="center"/>
              <w:textAlignment w:val="center"/>
              <w:rPr>
                <w:rFonts w:ascii="宋体" w:hAnsi="宋体" w:cs="宋体"/>
                <w:color w:val="000000"/>
                <w:szCs w:val="21"/>
              </w:rPr>
            </w:pPr>
            <w:r>
              <w:rPr>
                <w:rFonts w:hint="eastAsia" w:ascii="宋体" w:hAnsi="宋体" w:cs="宋体"/>
                <w:color w:val="000000"/>
                <w:kern w:val="0"/>
                <w:szCs w:val="21"/>
              </w:rPr>
              <w:t>（队长）</w:t>
            </w:r>
          </w:p>
        </w:tc>
      </w:tr>
      <w:tr>
        <w:tblPrEx>
          <w:tblCellMar>
            <w:top w:w="15" w:type="dxa"/>
            <w:left w:w="15" w:type="dxa"/>
            <w:bottom w:w="15" w:type="dxa"/>
            <w:right w:w="15" w:type="dxa"/>
          </w:tblCellMar>
        </w:tblPrEx>
        <w:trPr>
          <w:trHeight w:val="625" w:hRule="atLeast"/>
          <w:jc w:val="center"/>
        </w:trPr>
        <w:tc>
          <w:tcPr>
            <w:tcW w:w="103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607" w:type="dxa"/>
            <w:tcBorders>
              <w:top w:val="single" w:color="000000" w:sz="4" w:space="0"/>
              <w:left w:val="single" w:color="000000" w:sz="4" w:space="0"/>
              <w:bottom w:val="single" w:color="000000" w:sz="4" w:space="0"/>
              <w:right w:val="single" w:color="auto" w:sz="4" w:space="0"/>
            </w:tcBorders>
            <w:vAlign w:val="center"/>
          </w:tcPr>
          <w:p>
            <w:pPr>
              <w:jc w:val="center"/>
              <w:rPr>
                <w:rFonts w:ascii="宋体" w:hAnsi="宋体" w:cs="宋体"/>
                <w:color w:val="000000"/>
                <w:szCs w:val="21"/>
              </w:rPr>
            </w:pPr>
          </w:p>
        </w:tc>
        <w:tc>
          <w:tcPr>
            <w:tcW w:w="103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kern w:val="0"/>
                <w:szCs w:val="21"/>
              </w:rPr>
            </w:pPr>
          </w:p>
        </w:tc>
        <w:tc>
          <w:tcPr>
            <w:tcW w:w="1161" w:type="dxa"/>
            <w:tcBorders>
              <w:top w:val="single" w:color="000000" w:sz="4" w:space="0"/>
              <w:left w:val="single" w:color="auto" w:sz="4" w:space="0"/>
              <w:bottom w:val="single" w:color="auto" w:sz="4" w:space="0"/>
              <w:right w:val="single" w:color="000000" w:sz="4" w:space="0"/>
            </w:tcBorders>
            <w:vAlign w:val="center"/>
          </w:tcPr>
          <w:p>
            <w:pPr>
              <w:spacing w:line="320" w:lineRule="exact"/>
              <w:jc w:val="center"/>
              <w:rPr>
                <w:rFonts w:ascii="宋体" w:hAnsi="宋体" w:cs="宋体"/>
                <w:color w:val="000000"/>
                <w:szCs w:val="21"/>
              </w:rPr>
            </w:pPr>
            <w:r>
              <w:rPr>
                <w:rFonts w:hint="eastAsia" w:ascii="宋体" w:hAnsi="宋体" w:cs="宋体"/>
                <w:color w:val="000000"/>
                <w:szCs w:val="21"/>
              </w:rPr>
              <w:t>工艺技术员</w:t>
            </w:r>
          </w:p>
        </w:tc>
        <w:tc>
          <w:tcPr>
            <w:tcW w:w="613"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P3</w:t>
            </w:r>
          </w:p>
        </w:tc>
        <w:tc>
          <w:tcPr>
            <w:tcW w:w="155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color w:val="000000"/>
                <w:szCs w:val="21"/>
              </w:rPr>
            </w:pPr>
            <w:r>
              <w:rPr>
                <w:rFonts w:hint="eastAsia" w:ascii="宋体" w:hAnsi="宋体" w:cs="宋体"/>
                <w:color w:val="000000"/>
                <w:kern w:val="0"/>
                <w:szCs w:val="21"/>
              </w:rPr>
              <w:t xml:space="preserve">业务协办/工艺技术师 </w:t>
            </w:r>
          </w:p>
        </w:tc>
        <w:tc>
          <w:tcPr>
            <w:tcW w:w="1292"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hAnsi="宋体" w:cs="宋体"/>
                <w:szCs w:val="21"/>
              </w:rPr>
            </w:pPr>
            <w:r>
              <w:rPr>
                <w:rFonts w:hint="eastAsia" w:ascii="宋体" w:hAnsi="宋体" w:cs="宋体"/>
                <w:color w:val="000000"/>
                <w:szCs w:val="21"/>
              </w:rPr>
              <w:t>班长/安全员</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W4</w:t>
            </w:r>
          </w:p>
        </w:tc>
        <w:tc>
          <w:tcPr>
            <w:tcW w:w="113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hAnsi="宋体" w:cs="宋体"/>
                <w:color w:val="000000"/>
                <w:szCs w:val="21"/>
              </w:rPr>
            </w:pPr>
            <w:r>
              <w:rPr>
                <w:rFonts w:hint="eastAsia" w:ascii="宋体" w:hAnsi="宋体" w:cs="宋体"/>
                <w:color w:val="000000"/>
                <w:kern w:val="0"/>
                <w:szCs w:val="21"/>
              </w:rPr>
              <w:t>初级</w:t>
            </w:r>
            <w:r>
              <w:rPr>
                <w:rFonts w:hint="eastAsia" w:ascii="宋体" w:hAnsi="宋体" w:cs="宋体"/>
                <w:color w:val="000000"/>
                <w:szCs w:val="21"/>
              </w:rPr>
              <w:t>技师</w:t>
            </w:r>
          </w:p>
          <w:p>
            <w:pPr>
              <w:widowControl/>
              <w:spacing w:line="320" w:lineRule="exact"/>
              <w:jc w:val="center"/>
              <w:textAlignment w:val="center"/>
              <w:rPr>
                <w:rFonts w:ascii="宋体" w:hAnsi="宋体" w:cs="宋体"/>
                <w:color w:val="000000"/>
                <w:szCs w:val="21"/>
              </w:rPr>
            </w:pPr>
            <w:r>
              <w:rPr>
                <w:rFonts w:hint="eastAsia" w:ascii="宋体" w:hAnsi="宋体" w:cs="宋体"/>
                <w:color w:val="000000"/>
                <w:szCs w:val="21"/>
              </w:rPr>
              <w:t>（班长）</w:t>
            </w:r>
          </w:p>
        </w:tc>
      </w:tr>
      <w:tr>
        <w:tblPrEx>
          <w:tblCellMar>
            <w:top w:w="15" w:type="dxa"/>
            <w:left w:w="15" w:type="dxa"/>
            <w:bottom w:w="15" w:type="dxa"/>
            <w:right w:w="15" w:type="dxa"/>
          </w:tblCellMar>
        </w:tblPrEx>
        <w:trPr>
          <w:trHeight w:val="490" w:hRule="atLeast"/>
          <w:jc w:val="center"/>
        </w:trPr>
        <w:tc>
          <w:tcPr>
            <w:tcW w:w="103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607" w:type="dxa"/>
            <w:tcBorders>
              <w:top w:val="single" w:color="000000" w:sz="4" w:space="0"/>
              <w:left w:val="single" w:color="000000" w:sz="4" w:space="0"/>
              <w:bottom w:val="single" w:color="000000" w:sz="4" w:space="0"/>
              <w:right w:val="single" w:color="auto" w:sz="4" w:space="0"/>
            </w:tcBorders>
            <w:vAlign w:val="center"/>
          </w:tcPr>
          <w:p>
            <w:pPr>
              <w:jc w:val="center"/>
              <w:rPr>
                <w:rFonts w:ascii="宋体" w:hAnsi="宋体" w:cs="宋体"/>
                <w:color w:val="000000"/>
                <w:szCs w:val="21"/>
              </w:rPr>
            </w:pPr>
          </w:p>
        </w:tc>
        <w:tc>
          <w:tcPr>
            <w:tcW w:w="10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Cs w:val="21"/>
              </w:rPr>
            </w:pPr>
          </w:p>
        </w:tc>
        <w:tc>
          <w:tcPr>
            <w:tcW w:w="1161" w:type="dxa"/>
            <w:vMerge w:val="restart"/>
            <w:tcBorders>
              <w:top w:val="single" w:color="auto" w:sz="4" w:space="0"/>
              <w:left w:val="single" w:color="auto"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kern w:val="0"/>
                <w:szCs w:val="21"/>
              </w:rPr>
              <w:t>初级职称</w:t>
            </w:r>
          </w:p>
        </w:tc>
        <w:tc>
          <w:tcPr>
            <w:tcW w:w="613" w:type="dxa"/>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kern w:val="0"/>
                <w:szCs w:val="21"/>
              </w:rPr>
              <w:t>P2</w:t>
            </w:r>
          </w:p>
        </w:tc>
        <w:tc>
          <w:tcPr>
            <w:tcW w:w="155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业务助理</w:t>
            </w:r>
          </w:p>
        </w:tc>
        <w:tc>
          <w:tcPr>
            <w:tcW w:w="12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主操</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W3</w:t>
            </w:r>
          </w:p>
        </w:tc>
        <w:tc>
          <w:tcPr>
            <w:tcW w:w="1135" w:type="dxa"/>
            <w:tcBorders>
              <w:top w:val="single" w:color="000000" w:sz="4" w:space="0"/>
              <w:left w:val="single" w:color="000000" w:sz="4" w:space="0"/>
              <w:bottom w:val="single" w:color="000000" w:sz="4" w:space="0"/>
              <w:right w:val="single" w:color="000000" w:sz="4" w:space="0"/>
            </w:tcBorders>
            <w:vAlign w:val="center"/>
          </w:tcPr>
          <w:p>
            <w:pPr>
              <w:widowControl/>
              <w:spacing w:line="480" w:lineRule="exact"/>
              <w:jc w:val="center"/>
              <w:textAlignment w:val="center"/>
              <w:rPr>
                <w:rFonts w:ascii="宋体" w:hAnsi="宋体" w:cs="宋体"/>
                <w:color w:val="000000"/>
                <w:szCs w:val="21"/>
              </w:rPr>
            </w:pPr>
            <w:r>
              <w:rPr>
                <w:rFonts w:hint="eastAsia" w:ascii="宋体" w:hAnsi="宋体" w:cs="宋体"/>
                <w:color w:val="000000"/>
                <w:kern w:val="0"/>
                <w:szCs w:val="21"/>
              </w:rPr>
              <w:t>主操</w:t>
            </w:r>
          </w:p>
        </w:tc>
      </w:tr>
      <w:tr>
        <w:tblPrEx>
          <w:tblCellMar>
            <w:top w:w="15" w:type="dxa"/>
            <w:left w:w="15" w:type="dxa"/>
            <w:bottom w:w="15" w:type="dxa"/>
            <w:right w:w="15" w:type="dxa"/>
          </w:tblCellMar>
        </w:tblPrEx>
        <w:trPr>
          <w:trHeight w:val="490" w:hRule="atLeast"/>
          <w:jc w:val="center"/>
        </w:trPr>
        <w:tc>
          <w:tcPr>
            <w:tcW w:w="103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60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030" w:type="dxa"/>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161" w:type="dxa"/>
            <w:vMerge w:val="continue"/>
            <w:tcBorders>
              <w:left w:val="single" w:color="auto" w:sz="4" w:space="0"/>
              <w:bottom w:val="single" w:color="000000" w:sz="4" w:space="0"/>
              <w:right w:val="single" w:color="000000" w:sz="4" w:space="0"/>
            </w:tcBorders>
            <w:vAlign w:val="center"/>
          </w:tcPr>
          <w:p>
            <w:pPr>
              <w:jc w:val="center"/>
              <w:rPr>
                <w:rFonts w:ascii="宋体" w:hAnsi="宋体" w:cs="宋体"/>
                <w:color w:val="000000"/>
                <w:szCs w:val="21"/>
              </w:rPr>
            </w:pPr>
          </w:p>
        </w:tc>
        <w:tc>
          <w:tcPr>
            <w:tcW w:w="61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kern w:val="0"/>
                <w:szCs w:val="21"/>
              </w:rPr>
              <w:t>P1</w:t>
            </w:r>
          </w:p>
        </w:tc>
        <w:tc>
          <w:tcPr>
            <w:tcW w:w="155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业务员</w:t>
            </w:r>
          </w:p>
        </w:tc>
        <w:tc>
          <w:tcPr>
            <w:tcW w:w="12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熟练工</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W2</w:t>
            </w:r>
          </w:p>
        </w:tc>
        <w:tc>
          <w:tcPr>
            <w:tcW w:w="1135" w:type="dxa"/>
            <w:tcBorders>
              <w:top w:val="single" w:color="000000" w:sz="4" w:space="0"/>
              <w:left w:val="single" w:color="000000" w:sz="4" w:space="0"/>
              <w:bottom w:val="single" w:color="000000" w:sz="4" w:space="0"/>
              <w:right w:val="single" w:color="000000" w:sz="4" w:space="0"/>
            </w:tcBorders>
            <w:vAlign w:val="center"/>
          </w:tcPr>
          <w:p>
            <w:pPr>
              <w:widowControl/>
              <w:spacing w:line="480" w:lineRule="exact"/>
              <w:jc w:val="center"/>
              <w:textAlignment w:val="center"/>
              <w:rPr>
                <w:rFonts w:ascii="宋体" w:hAnsi="宋体" w:cs="宋体"/>
                <w:color w:val="000000"/>
                <w:kern w:val="0"/>
                <w:szCs w:val="21"/>
              </w:rPr>
            </w:pPr>
            <w:r>
              <w:rPr>
                <w:rFonts w:hint="eastAsia" w:ascii="宋体" w:hAnsi="宋体" w:cs="宋体"/>
                <w:color w:val="000000"/>
                <w:kern w:val="0"/>
                <w:szCs w:val="21"/>
              </w:rPr>
              <w:t>熟练工</w:t>
            </w:r>
          </w:p>
        </w:tc>
      </w:tr>
      <w:tr>
        <w:tblPrEx>
          <w:tblCellMar>
            <w:top w:w="15" w:type="dxa"/>
            <w:left w:w="15" w:type="dxa"/>
            <w:bottom w:w="15" w:type="dxa"/>
            <w:right w:w="15" w:type="dxa"/>
          </w:tblCellMar>
        </w:tblPrEx>
        <w:trPr>
          <w:trHeight w:val="490" w:hRule="atLeast"/>
          <w:jc w:val="center"/>
        </w:trPr>
        <w:tc>
          <w:tcPr>
            <w:tcW w:w="103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60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03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16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61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Cs w:val="21"/>
              </w:rPr>
            </w:pPr>
          </w:p>
        </w:tc>
        <w:tc>
          <w:tcPr>
            <w:tcW w:w="155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2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学员</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W1</w:t>
            </w:r>
          </w:p>
        </w:tc>
        <w:tc>
          <w:tcPr>
            <w:tcW w:w="1135" w:type="dxa"/>
            <w:tcBorders>
              <w:top w:val="single" w:color="000000" w:sz="4" w:space="0"/>
              <w:left w:val="single" w:color="000000" w:sz="4" w:space="0"/>
              <w:bottom w:val="single" w:color="000000" w:sz="4" w:space="0"/>
              <w:right w:val="single" w:color="000000" w:sz="4" w:space="0"/>
            </w:tcBorders>
            <w:vAlign w:val="center"/>
          </w:tcPr>
          <w:p>
            <w:pPr>
              <w:widowControl/>
              <w:spacing w:line="480" w:lineRule="exact"/>
              <w:jc w:val="center"/>
              <w:textAlignment w:val="center"/>
              <w:rPr>
                <w:rFonts w:ascii="宋体" w:hAnsi="宋体" w:cs="宋体"/>
                <w:color w:val="000000"/>
                <w:kern w:val="0"/>
                <w:szCs w:val="21"/>
              </w:rPr>
            </w:pPr>
            <w:r>
              <w:rPr>
                <w:rFonts w:hint="eastAsia" w:ascii="宋体" w:hAnsi="宋体" w:cs="宋体"/>
                <w:color w:val="000000"/>
                <w:kern w:val="0"/>
                <w:szCs w:val="21"/>
              </w:rPr>
              <w:t>学员</w:t>
            </w:r>
          </w:p>
        </w:tc>
      </w:tr>
    </w:tbl>
    <w:p>
      <w:pPr>
        <w:spacing w:line="560" w:lineRule="exact"/>
        <w:ind w:firstLine="640" w:firstLineChars="200"/>
        <w:rPr>
          <w:rFonts w:eastAsia="仿宋_GB2312"/>
          <w:color w:val="333333"/>
          <w:kern w:val="0"/>
          <w:sz w:val="32"/>
          <w:szCs w:val="32"/>
          <w:lang w:bidi="ar"/>
        </w:rPr>
      </w:pPr>
    </w:p>
    <w:p>
      <w:pPr>
        <w:spacing w:line="560" w:lineRule="exact"/>
        <w:ind w:firstLine="640" w:firstLineChars="200"/>
        <w:jc w:val="center"/>
        <w:rPr>
          <w:rFonts w:hint="eastAsia" w:eastAsia="仿宋_GB2312"/>
          <w:color w:val="333333"/>
          <w:kern w:val="0"/>
          <w:sz w:val="32"/>
          <w:szCs w:val="32"/>
          <w:lang w:bidi="ar"/>
        </w:rPr>
      </w:pPr>
    </w:p>
    <w:p>
      <w:pPr>
        <w:spacing w:line="560" w:lineRule="exact"/>
        <w:ind w:firstLine="640" w:firstLineChars="200"/>
        <w:jc w:val="center"/>
        <w:rPr>
          <w:rFonts w:hint="eastAsia" w:eastAsia="仿宋_GB2312"/>
          <w:color w:val="333333"/>
          <w:kern w:val="0"/>
          <w:sz w:val="32"/>
          <w:szCs w:val="32"/>
          <w:lang w:bidi="ar"/>
        </w:rPr>
      </w:pPr>
    </w:p>
    <w:p>
      <w:pPr>
        <w:spacing w:line="560" w:lineRule="exact"/>
        <w:ind w:firstLine="640" w:firstLineChars="200"/>
        <w:jc w:val="center"/>
        <w:rPr>
          <w:rFonts w:hint="eastAsia" w:eastAsia="仿宋_GB2312"/>
          <w:color w:val="333333"/>
          <w:kern w:val="0"/>
          <w:sz w:val="32"/>
          <w:szCs w:val="32"/>
          <w:lang w:bidi="ar"/>
        </w:rPr>
      </w:pPr>
    </w:p>
    <w:p>
      <w:pPr>
        <w:spacing w:line="560" w:lineRule="exact"/>
        <w:ind w:firstLine="640" w:firstLineChars="200"/>
        <w:jc w:val="center"/>
        <w:rPr>
          <w:rFonts w:hint="eastAsia" w:eastAsia="仿宋_GB2312"/>
          <w:color w:val="333333"/>
          <w:kern w:val="0"/>
          <w:sz w:val="32"/>
          <w:szCs w:val="32"/>
          <w:lang w:bidi="ar"/>
        </w:rPr>
      </w:pPr>
    </w:p>
    <w:p>
      <w:pPr>
        <w:spacing w:line="560" w:lineRule="exact"/>
        <w:ind w:firstLine="640" w:firstLineChars="200"/>
        <w:jc w:val="center"/>
        <w:rPr>
          <w:rFonts w:hint="eastAsia" w:eastAsia="仿宋_GB2312"/>
          <w:color w:val="333333"/>
          <w:kern w:val="0"/>
          <w:sz w:val="32"/>
          <w:szCs w:val="32"/>
          <w:lang w:bidi="ar"/>
        </w:rPr>
      </w:pPr>
    </w:p>
    <w:p>
      <w:pPr>
        <w:spacing w:line="560" w:lineRule="exact"/>
        <w:ind w:firstLine="640" w:firstLineChars="200"/>
        <w:jc w:val="center"/>
        <w:rPr>
          <w:rFonts w:hint="eastAsia" w:eastAsia="仿宋_GB2312"/>
          <w:color w:val="333333"/>
          <w:kern w:val="0"/>
          <w:sz w:val="32"/>
          <w:szCs w:val="32"/>
          <w:lang w:bidi="ar"/>
        </w:rPr>
      </w:pPr>
    </w:p>
    <w:p>
      <w:pPr>
        <w:spacing w:line="560" w:lineRule="exact"/>
        <w:ind w:firstLine="640" w:firstLineChars="200"/>
        <w:jc w:val="center"/>
        <w:rPr>
          <w:rFonts w:eastAsia="仿宋_GB2312"/>
          <w:color w:val="333333"/>
          <w:kern w:val="0"/>
          <w:sz w:val="32"/>
          <w:szCs w:val="32"/>
          <w:lang w:bidi="ar"/>
        </w:rPr>
      </w:pPr>
      <w:r>
        <w:rPr>
          <w:rFonts w:hint="eastAsia" w:eastAsia="仿宋_GB2312"/>
          <w:color w:val="333333"/>
          <w:kern w:val="0"/>
          <w:sz w:val="32"/>
          <w:szCs w:val="32"/>
          <w:lang w:bidi="ar"/>
        </w:rPr>
        <w:t>图表</w:t>
      </w:r>
      <w:r>
        <w:rPr>
          <w:rFonts w:hint="eastAsia" w:ascii="仿宋_GB2312" w:hAnsi="仿宋_GB2312" w:eastAsia="仿宋_GB2312" w:cs="仿宋_GB2312"/>
          <w:color w:val="333333"/>
          <w:kern w:val="0"/>
          <w:sz w:val="32"/>
          <w:szCs w:val="32"/>
          <w:lang w:bidi="ar"/>
        </w:rPr>
        <w:t>2</w:t>
      </w:r>
      <w:r>
        <w:rPr>
          <w:rFonts w:hint="eastAsia" w:eastAsia="仿宋_GB2312"/>
          <w:color w:val="333333"/>
          <w:kern w:val="0"/>
          <w:sz w:val="32"/>
          <w:szCs w:val="32"/>
          <w:lang w:bidi="ar"/>
        </w:rPr>
        <w:t>：三大序列职工发展通道</w:t>
      </w:r>
    </w:p>
    <w:p>
      <w:pPr>
        <w:spacing w:line="560" w:lineRule="exact"/>
        <w:ind w:firstLine="420" w:firstLineChars="200"/>
        <w:jc w:val="center"/>
        <w:rPr>
          <w:rFonts w:eastAsia="仿宋_GB2312"/>
          <w:color w:val="333333"/>
          <w:kern w:val="0"/>
          <w:sz w:val="32"/>
          <w:szCs w:val="32"/>
          <w:lang w:bidi="ar"/>
        </w:rPr>
      </w:pPr>
      <w:r>
        <w:drawing>
          <wp:anchor distT="0" distB="0" distL="114300" distR="114300" simplePos="0" relativeHeight="251659264" behindDoc="1" locked="0" layoutInCell="1" allowOverlap="1">
            <wp:simplePos x="0" y="0"/>
            <wp:positionH relativeFrom="margin">
              <wp:posOffset>301625</wp:posOffset>
            </wp:positionH>
            <wp:positionV relativeFrom="margin">
              <wp:posOffset>576580</wp:posOffset>
            </wp:positionV>
            <wp:extent cx="5212715" cy="4413250"/>
            <wp:effectExtent l="0" t="0" r="6985" b="635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5212715" cy="4413250"/>
                    </a:xfrm>
                    <a:prstGeom prst="rect">
                      <a:avLst/>
                    </a:prstGeom>
                  </pic:spPr>
                </pic:pic>
              </a:graphicData>
            </a:graphic>
          </wp:anchor>
        </w:drawing>
      </w:r>
    </w:p>
    <w:p>
      <w:pPr>
        <w:spacing w:line="560" w:lineRule="exact"/>
        <w:ind w:firstLine="640" w:firstLineChars="200"/>
        <w:jc w:val="center"/>
        <w:rPr>
          <w:rFonts w:eastAsia="仿宋_GB2312"/>
          <w:color w:val="333333"/>
          <w:kern w:val="0"/>
          <w:sz w:val="32"/>
          <w:szCs w:val="32"/>
          <w:lang w:bidi="ar"/>
        </w:rPr>
      </w:pPr>
    </w:p>
    <w:p>
      <w:pPr>
        <w:spacing w:line="560" w:lineRule="exact"/>
        <w:ind w:firstLine="640" w:firstLineChars="200"/>
        <w:jc w:val="center"/>
        <w:rPr>
          <w:rFonts w:eastAsia="仿宋_GB2312"/>
          <w:color w:val="333333"/>
          <w:kern w:val="0"/>
          <w:sz w:val="32"/>
          <w:szCs w:val="32"/>
          <w:lang w:bidi="ar"/>
        </w:rPr>
      </w:pPr>
    </w:p>
    <w:p>
      <w:pPr>
        <w:spacing w:line="560" w:lineRule="exact"/>
        <w:ind w:firstLine="640" w:firstLineChars="200"/>
        <w:jc w:val="center"/>
        <w:rPr>
          <w:rFonts w:eastAsia="仿宋_GB2312"/>
          <w:color w:val="333333"/>
          <w:kern w:val="0"/>
          <w:sz w:val="32"/>
          <w:szCs w:val="32"/>
          <w:lang w:bidi="ar"/>
        </w:rPr>
      </w:pPr>
    </w:p>
    <w:p>
      <w:pPr>
        <w:spacing w:line="560" w:lineRule="exact"/>
        <w:ind w:firstLine="640" w:firstLineChars="200"/>
        <w:jc w:val="center"/>
        <w:rPr>
          <w:rFonts w:eastAsia="仿宋_GB2312"/>
          <w:color w:val="333333"/>
          <w:kern w:val="0"/>
          <w:sz w:val="32"/>
          <w:szCs w:val="32"/>
          <w:lang w:bidi="ar"/>
        </w:rPr>
      </w:pPr>
    </w:p>
    <w:p>
      <w:pPr>
        <w:spacing w:line="560" w:lineRule="exact"/>
        <w:ind w:firstLine="640" w:firstLineChars="200"/>
        <w:jc w:val="center"/>
        <w:rPr>
          <w:rFonts w:eastAsia="仿宋_GB2312"/>
          <w:color w:val="333333"/>
          <w:kern w:val="0"/>
          <w:sz w:val="32"/>
          <w:szCs w:val="32"/>
          <w:lang w:bidi="ar"/>
        </w:rPr>
      </w:pPr>
    </w:p>
    <w:p>
      <w:pPr>
        <w:spacing w:line="560" w:lineRule="exact"/>
        <w:ind w:firstLine="640"/>
        <w:rPr>
          <w:rFonts w:eastAsia="仿宋_GB2312"/>
          <w:b/>
          <w:sz w:val="32"/>
          <w:szCs w:val="32"/>
          <w:lang w:bidi="ar"/>
        </w:rPr>
      </w:pPr>
    </w:p>
    <w:p>
      <w:pPr>
        <w:spacing w:line="560" w:lineRule="exact"/>
        <w:ind w:firstLine="640"/>
        <w:rPr>
          <w:rFonts w:eastAsia="仿宋_GB2312"/>
          <w:b/>
          <w:sz w:val="32"/>
          <w:szCs w:val="32"/>
          <w:lang w:bidi="ar"/>
        </w:rPr>
      </w:pPr>
    </w:p>
    <w:p>
      <w:pPr>
        <w:spacing w:line="560" w:lineRule="exact"/>
        <w:ind w:firstLine="640"/>
        <w:rPr>
          <w:rFonts w:eastAsia="仿宋_GB2312"/>
          <w:b/>
          <w:sz w:val="32"/>
          <w:szCs w:val="32"/>
          <w:lang w:bidi="ar"/>
        </w:rPr>
      </w:pPr>
    </w:p>
    <w:p>
      <w:pPr>
        <w:spacing w:line="560" w:lineRule="exact"/>
        <w:ind w:firstLine="640"/>
        <w:rPr>
          <w:rFonts w:eastAsia="仿宋_GB2312"/>
          <w:b/>
          <w:sz w:val="32"/>
          <w:szCs w:val="32"/>
          <w:lang w:bidi="ar"/>
        </w:rPr>
      </w:pPr>
    </w:p>
    <w:p>
      <w:pPr>
        <w:spacing w:line="560" w:lineRule="exact"/>
        <w:ind w:firstLine="640"/>
        <w:rPr>
          <w:rFonts w:eastAsia="仿宋_GB2312"/>
          <w:b/>
          <w:sz w:val="32"/>
          <w:szCs w:val="32"/>
          <w:lang w:bidi="ar"/>
        </w:rPr>
      </w:pPr>
    </w:p>
    <w:p>
      <w:pPr>
        <w:spacing w:line="560" w:lineRule="exact"/>
        <w:ind w:firstLine="640"/>
        <w:rPr>
          <w:rFonts w:eastAsia="仿宋_GB2312"/>
          <w:b/>
          <w:sz w:val="32"/>
          <w:szCs w:val="32"/>
          <w:lang w:bidi="ar"/>
        </w:rPr>
      </w:pPr>
    </w:p>
    <w:p>
      <w:pPr>
        <w:spacing w:line="560" w:lineRule="exact"/>
        <w:ind w:firstLine="640"/>
        <w:rPr>
          <w:rFonts w:eastAsia="仿宋_GB2312"/>
          <w:b/>
          <w:sz w:val="32"/>
          <w:szCs w:val="32"/>
          <w:lang w:bidi="ar"/>
        </w:rPr>
      </w:pPr>
    </w:p>
    <w:p>
      <w:pPr>
        <w:spacing w:line="560" w:lineRule="exact"/>
        <w:ind w:firstLine="640"/>
        <w:rPr>
          <w:rFonts w:eastAsia="仿宋_GB2312"/>
          <w:b/>
          <w:sz w:val="32"/>
          <w:szCs w:val="32"/>
          <w:lang w:bidi="ar"/>
        </w:rPr>
      </w:pPr>
    </w:p>
    <w:p>
      <w:pPr>
        <w:spacing w:line="560" w:lineRule="exact"/>
        <w:ind w:firstLine="640"/>
        <w:rPr>
          <w:rFonts w:ascii="仿宋_GB2312" w:eastAsia="仿宋_GB2312"/>
          <w:sz w:val="32"/>
          <w:szCs w:val="32"/>
        </w:rPr>
      </w:pPr>
      <w:r>
        <w:rPr>
          <w:rFonts w:hint="eastAsia" w:ascii="仿宋_GB2312" w:hAnsi="仿宋_GB2312" w:eastAsia="仿宋_GB2312" w:cs="仿宋_GB2312"/>
          <w:b/>
          <w:color w:val="333333"/>
          <w:kern w:val="0"/>
          <w:sz w:val="32"/>
          <w:szCs w:val="32"/>
          <w:lang w:bidi="ar"/>
        </w:rPr>
        <w:t>3.优化人力资源配置，提升生产效率。</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333333"/>
          <w:kern w:val="0"/>
          <w:sz w:val="32"/>
          <w:szCs w:val="32"/>
          <w:lang w:bidi="ar"/>
        </w:rPr>
        <w:t>对标化工行业先进企业，按照从严从紧、先进合理、兼职兼岗的原则，科学合理推进“定编、定岗、定员”工作。加快“精智西北能化”建设和</w:t>
      </w:r>
      <w:r>
        <w:rPr>
          <w:rFonts w:hint="eastAsia" w:ascii="仿宋_GB2312" w:hAnsi="仿宋_GB2312" w:eastAsia="仿宋_GB2312" w:cs="仿宋_GB2312"/>
          <w:sz w:val="32"/>
          <w:szCs w:val="32"/>
          <w:lang w:bidi="ar"/>
        </w:rPr>
        <w:t>新技术、新工艺</w:t>
      </w:r>
      <w:r>
        <w:rPr>
          <w:rFonts w:hint="eastAsia" w:ascii="仿宋_GB2312" w:hAnsi="仿宋_GB2312" w:eastAsia="仿宋_GB2312" w:cs="仿宋_GB2312"/>
          <w:color w:val="333333"/>
          <w:kern w:val="0"/>
          <w:sz w:val="32"/>
          <w:szCs w:val="32"/>
          <w:lang w:bidi="ar"/>
        </w:rPr>
        <w:t>应用</w:t>
      </w:r>
      <w:r>
        <w:rPr>
          <w:rFonts w:hint="eastAsia" w:ascii="仿宋_GB2312" w:hAnsi="仿宋_GB2312" w:eastAsia="仿宋_GB2312" w:cs="仿宋_GB2312"/>
          <w:sz w:val="32"/>
          <w:szCs w:val="32"/>
          <w:lang w:bidi="ar"/>
        </w:rPr>
        <w:t>，全面提升生产要素的科技含量，促进人员队伍精简高效。完善内部人力资源市场，构建正常流动机制，</w:t>
      </w:r>
      <w:r>
        <w:rPr>
          <w:rFonts w:hint="eastAsia" w:ascii="仿宋_GB2312" w:hAnsi="仿宋_GB2312" w:eastAsia="仿宋_GB2312" w:cs="仿宋_GB2312"/>
          <w:color w:val="333333"/>
          <w:kern w:val="0"/>
          <w:sz w:val="32"/>
          <w:szCs w:val="32"/>
          <w:lang w:bidi="ar"/>
        </w:rPr>
        <w:t>通过转岗培训、业务考核、技能竞赛、收入分配倾斜等措施引导职工积极向高技能、高技术含量岗位流动，</w:t>
      </w:r>
      <w:r>
        <w:rPr>
          <w:rFonts w:hint="eastAsia" w:ascii="仿宋_GB2312" w:hAnsi="仿宋_GB2312" w:eastAsia="仿宋_GB2312" w:cs="仿宋_GB2312"/>
          <w:sz w:val="32"/>
          <w:szCs w:val="32"/>
          <w:lang w:bidi="ar"/>
        </w:rPr>
        <w:t>提高存量人力资源使用效率</w:t>
      </w:r>
      <w:r>
        <w:rPr>
          <w:rFonts w:hint="eastAsia" w:ascii="仿宋_GB2312" w:hAnsi="仿宋_GB2312" w:eastAsia="仿宋_GB2312" w:cs="仿宋_GB2312"/>
          <w:color w:val="333333"/>
          <w:kern w:val="0"/>
          <w:sz w:val="32"/>
          <w:szCs w:val="32"/>
          <w:lang w:bidi="ar"/>
        </w:rPr>
        <w:t>。拓宽人才引进渠道，制定具体岗位任职标准，结合实际岗位需求，采取市场化方式，开展公开</w:t>
      </w:r>
      <w:r>
        <w:rPr>
          <w:rFonts w:hint="eastAsia" w:ascii="仿宋_GB2312" w:hAnsi="仿宋_GB2312" w:eastAsia="仿宋_GB2312" w:cs="仿宋_GB2312"/>
          <w:kern w:val="0"/>
          <w:sz w:val="32"/>
          <w:szCs w:val="32"/>
          <w:lang w:bidi="ar"/>
        </w:rPr>
        <w:t>选聘</w:t>
      </w:r>
      <w:r>
        <w:rPr>
          <w:rFonts w:hint="eastAsia" w:ascii="仿宋_GB2312" w:hAnsi="仿宋_GB2312" w:eastAsia="仿宋_GB2312" w:cs="仿宋_GB2312"/>
          <w:color w:val="333333"/>
          <w:kern w:val="0"/>
          <w:sz w:val="32"/>
          <w:szCs w:val="32"/>
          <w:lang w:bidi="ar"/>
        </w:rPr>
        <w:t>；招才引智，着力提升人力资源质量，积极同高等院校和职业技术学校合作办学，通过委托培养、订单培养、对口单招和多种形式的职业教育，多渠道补充</w:t>
      </w:r>
      <w:r>
        <w:rPr>
          <w:rFonts w:hint="eastAsia" w:ascii="仿宋_GB2312" w:hAnsi="仿宋_GB2312" w:eastAsia="仿宋_GB2312" w:cs="仿宋_GB2312"/>
          <w:color w:val="000000"/>
          <w:sz w:val="32"/>
          <w:szCs w:val="32"/>
          <w:shd w:val="clear" w:color="auto" w:fill="FFFFFF"/>
          <w:lang w:bidi="ar"/>
        </w:rPr>
        <w:t>生产一线岗位、关键岗位和紧缺急需岗位的高层次、高技能</w:t>
      </w:r>
      <w:r>
        <w:rPr>
          <w:rFonts w:hint="eastAsia" w:ascii="仿宋_GB2312" w:hAnsi="仿宋_GB2312" w:eastAsia="仿宋_GB2312" w:cs="仿宋_GB2312"/>
          <w:color w:val="333333"/>
          <w:kern w:val="0"/>
          <w:sz w:val="32"/>
          <w:szCs w:val="32"/>
          <w:lang w:bidi="ar"/>
        </w:rPr>
        <w:t>人才，</w:t>
      </w:r>
      <w:r>
        <w:rPr>
          <w:rFonts w:hint="eastAsia" w:ascii="仿宋_GB2312" w:hAnsi="仿宋_GB2312" w:eastAsia="仿宋_GB2312" w:cs="仿宋_GB2312"/>
          <w:sz w:val="32"/>
          <w:szCs w:val="32"/>
          <w:lang w:bidi="ar"/>
        </w:rPr>
        <w:t>不断优化职工队伍结构；</w:t>
      </w:r>
      <w:r>
        <w:rPr>
          <w:rFonts w:hint="eastAsia" w:ascii="仿宋_GB2312" w:hAnsi="仿宋_GB2312" w:eastAsia="仿宋_GB2312" w:cs="仿宋_GB2312"/>
          <w:sz w:val="32"/>
          <w:szCs w:val="32"/>
        </w:rPr>
        <w:t>健全学习平台，通过建立考试题库、强化导师带徒考核、开展季度机考等方式拓展培训体系，推行精准培训，有效提升职工技能技术水平。</w:t>
      </w:r>
      <w:r>
        <w:rPr>
          <w:rFonts w:hint="eastAsia" w:ascii="仿宋_GB2312" w:hAnsi="仿宋_GB2312" w:eastAsia="仿宋_GB2312" w:cs="仿宋_GB2312"/>
          <w:color w:val="333333"/>
          <w:kern w:val="0"/>
          <w:sz w:val="32"/>
          <w:szCs w:val="32"/>
          <w:lang w:bidi="ar"/>
        </w:rPr>
        <w:t>（责任部门：人力资源部以及相关部室）</w:t>
      </w:r>
    </w:p>
    <w:p>
      <w:pPr>
        <w:widowControl/>
        <w:shd w:val="clear" w:color="auto" w:fill="FFFFFF"/>
        <w:spacing w:line="560" w:lineRule="exact"/>
        <w:ind w:firstLine="643" w:firstLineChars="200"/>
        <w:rPr>
          <w:rFonts w:eastAsia="楷体_GB2312"/>
          <w:b/>
          <w:sz w:val="32"/>
          <w:szCs w:val="32"/>
          <w:lang w:bidi="ar"/>
        </w:rPr>
      </w:pPr>
      <w:r>
        <w:rPr>
          <w:rFonts w:eastAsia="楷体_GB2312"/>
          <w:b/>
          <w:sz w:val="32"/>
          <w:szCs w:val="32"/>
          <w:lang w:bidi="ar"/>
        </w:rPr>
        <w:t>（二）建立以岗位任期制契约化为基础</w:t>
      </w:r>
      <w:r>
        <w:rPr>
          <w:rFonts w:hint="eastAsia" w:eastAsia="楷体_GB2312"/>
          <w:b/>
          <w:sz w:val="32"/>
          <w:szCs w:val="32"/>
          <w:lang w:bidi="ar"/>
        </w:rPr>
        <w:t>、</w:t>
      </w:r>
      <w:r>
        <w:rPr>
          <w:rFonts w:eastAsia="楷体_GB2312"/>
          <w:b/>
          <w:sz w:val="32"/>
          <w:szCs w:val="32"/>
          <w:lang w:bidi="ar"/>
        </w:rPr>
        <w:t>竞聘上岗为核心的选人用人机制，真正实现</w:t>
      </w:r>
      <w:r>
        <w:rPr>
          <w:rFonts w:hint="eastAsia" w:ascii="仿宋_GB2312" w:hAnsi="仿宋_GB2312" w:eastAsia="仿宋_GB2312" w:cs="仿宋_GB2312"/>
          <w:b/>
          <w:sz w:val="32"/>
          <w:szCs w:val="32"/>
          <w:lang w:bidi="ar"/>
        </w:rPr>
        <w:t>“能者上、优者奖、庸者下、劣者汰”</w:t>
      </w:r>
      <w:r>
        <w:rPr>
          <w:rFonts w:eastAsia="楷体_GB2312"/>
          <w:b/>
          <w:sz w:val="32"/>
          <w:szCs w:val="32"/>
          <w:lang w:bidi="ar"/>
        </w:rPr>
        <w:t>。</w:t>
      </w:r>
    </w:p>
    <w:p>
      <w:pPr>
        <w:spacing w:line="560" w:lineRule="exact"/>
        <w:ind w:firstLine="645"/>
        <w:rPr>
          <w:rFonts w:eastAsia="仿宋_GB2312"/>
          <w:color w:val="333333"/>
          <w:kern w:val="0"/>
          <w:sz w:val="32"/>
          <w:szCs w:val="32"/>
          <w:shd w:val="clear" w:color="auto" w:fill="FFFFFF"/>
          <w:lang w:bidi="ar"/>
        </w:rPr>
      </w:pPr>
      <w:r>
        <w:rPr>
          <w:rFonts w:hint="eastAsia" w:ascii="仿宋_GB2312" w:hAnsi="仿宋_GB2312" w:eastAsia="仿宋_GB2312" w:cs="仿宋_GB2312"/>
          <w:b/>
          <w:color w:val="333333"/>
          <w:kern w:val="0"/>
          <w:sz w:val="32"/>
          <w:szCs w:val="32"/>
          <w:shd w:val="clear" w:color="auto" w:fill="FFFFFF"/>
          <w:lang w:val="en-US" w:eastAsia="zh-CN" w:bidi="ar"/>
        </w:rPr>
        <w:t>1.</w:t>
      </w:r>
      <w:r>
        <w:rPr>
          <w:rFonts w:eastAsia="仿宋_GB2312"/>
          <w:b/>
          <w:color w:val="333333"/>
          <w:kern w:val="0"/>
          <w:sz w:val="32"/>
          <w:szCs w:val="32"/>
          <w:shd w:val="clear" w:color="auto" w:fill="FFFFFF"/>
          <w:lang w:bidi="ar"/>
        </w:rPr>
        <w:t>推行管理人员任期制契约化管理。</w:t>
      </w:r>
      <w:r>
        <w:rPr>
          <w:rFonts w:eastAsia="仿宋_GB2312"/>
          <w:color w:val="333333"/>
          <w:kern w:val="0"/>
          <w:sz w:val="32"/>
          <w:szCs w:val="32"/>
          <w:shd w:val="clear" w:color="auto" w:fill="FFFFFF"/>
          <w:lang w:bidi="ar"/>
        </w:rPr>
        <w:t>完善以岗位职责和任职条件为核心的职级体系，强化任期制管理，每届任期管理和专业技术岗位一般不超过</w:t>
      </w:r>
      <w:r>
        <w:rPr>
          <w:rFonts w:hint="eastAsia" w:ascii="仿宋_GB2312" w:hAnsi="仿宋_GB2312" w:eastAsia="仿宋_GB2312" w:cs="仿宋_GB2312"/>
          <w:color w:val="333333"/>
          <w:kern w:val="0"/>
          <w:sz w:val="32"/>
          <w:szCs w:val="32"/>
          <w:shd w:val="clear" w:color="auto" w:fill="FFFFFF"/>
          <w:lang w:bidi="ar"/>
        </w:rPr>
        <w:t>3年，任期届满，全员职务自然解聘。健全任期考核制度，明确岗位职责及任期目标任务，按年度开展履职述职。从2021年起，</w:t>
      </w:r>
      <w:r>
        <w:rPr>
          <w:rFonts w:eastAsia="仿宋_GB2312"/>
          <w:color w:val="333333"/>
          <w:kern w:val="0"/>
          <w:sz w:val="32"/>
          <w:szCs w:val="32"/>
          <w:shd w:val="clear" w:color="auto" w:fill="FFFFFF"/>
          <w:lang w:bidi="ar"/>
        </w:rPr>
        <w:t>所有现任职务全部解聘</w:t>
      </w:r>
      <w:r>
        <w:rPr>
          <w:rFonts w:hint="eastAsia" w:eastAsia="仿宋_GB2312"/>
          <w:color w:val="333333"/>
          <w:kern w:val="0"/>
          <w:sz w:val="32"/>
          <w:szCs w:val="32"/>
          <w:shd w:val="clear" w:color="auto" w:fill="FFFFFF"/>
          <w:lang w:bidi="ar"/>
        </w:rPr>
        <w:t>，</w:t>
      </w:r>
      <w:r>
        <w:rPr>
          <w:rFonts w:eastAsia="仿宋_GB2312"/>
          <w:color w:val="333333"/>
          <w:kern w:val="0"/>
          <w:sz w:val="32"/>
          <w:szCs w:val="32"/>
          <w:shd w:val="clear" w:color="auto" w:fill="FFFFFF"/>
          <w:lang w:bidi="ar"/>
        </w:rPr>
        <w:t>中层副职以上管理人员实行任期制契约化管理，签订岗位聘任合同和业绩考核合同；充分</w:t>
      </w:r>
      <w:r>
        <w:rPr>
          <w:rFonts w:hint="eastAsia" w:ascii="仿宋_GB2312" w:eastAsia="仿宋_GB2312"/>
          <w:sz w:val="32"/>
          <w:szCs w:val="32"/>
        </w:rPr>
        <w:t>做好评聘和竞聘准备工作，落实身份管理向岗位管理的转换，精心安排、无缝对接，确保新旧岗位体系的耦合衔接。</w:t>
      </w:r>
      <w:r>
        <w:rPr>
          <w:rFonts w:hint="eastAsia" w:ascii="仿宋_GB2312" w:hAnsi="仿宋_GB2312" w:eastAsia="仿宋_GB2312" w:cs="仿宋_GB2312"/>
          <w:sz w:val="32"/>
          <w:szCs w:val="32"/>
        </w:rPr>
        <w:t>建立健全专业技术和操作岗位评聘台账，明确岗位聘任时间、聘任期限等内容，聘任届满前3个月提前组织相关人员开展岗位任期考核、岗位评聘、岗位竞聘等工作。岗位聘任期间，强化履职考核，考核结果较差或者给予相关惩处达到解聘条件的，聘期内可直接解聘。</w:t>
      </w:r>
      <w:r>
        <w:rPr>
          <w:rFonts w:eastAsia="仿宋_GB2312"/>
          <w:color w:val="333333"/>
          <w:kern w:val="0"/>
          <w:sz w:val="32"/>
          <w:szCs w:val="32"/>
          <w:shd w:val="clear" w:color="auto" w:fill="FFFFFF"/>
          <w:lang w:bidi="ar"/>
        </w:rPr>
        <w:t>探索职业经理人的选聘和考核，着力构建职业经理人任期目标考核、薪酬管理、日常监督等方面的长效机制。（责任部门：</w:t>
      </w:r>
      <w:r>
        <w:rPr>
          <w:rFonts w:hint="eastAsia" w:eastAsia="仿宋_GB2312"/>
          <w:color w:val="333333"/>
          <w:kern w:val="0"/>
          <w:sz w:val="32"/>
          <w:szCs w:val="32"/>
          <w:shd w:val="clear" w:color="auto" w:fill="FFFFFF"/>
          <w:lang w:bidi="ar"/>
        </w:rPr>
        <w:t>人力资源</w:t>
      </w:r>
      <w:r>
        <w:rPr>
          <w:rFonts w:eastAsia="仿宋_GB2312"/>
          <w:color w:val="333333"/>
          <w:kern w:val="0"/>
          <w:sz w:val="32"/>
          <w:szCs w:val="32"/>
          <w:shd w:val="clear" w:color="auto" w:fill="FFFFFF"/>
          <w:lang w:bidi="ar"/>
        </w:rPr>
        <w:t>部）</w:t>
      </w:r>
    </w:p>
    <w:p>
      <w:pPr>
        <w:widowControl/>
        <w:shd w:val="clear" w:color="auto" w:fill="FFFFFF"/>
        <w:spacing w:line="560" w:lineRule="exact"/>
        <w:ind w:firstLine="643" w:firstLineChars="200"/>
        <w:rPr>
          <w:rFonts w:eastAsia="仿宋_GB2312"/>
          <w:color w:val="333333"/>
          <w:kern w:val="0"/>
          <w:sz w:val="32"/>
          <w:szCs w:val="32"/>
          <w:shd w:val="clear" w:color="auto" w:fill="FFFFFF"/>
        </w:rPr>
      </w:pPr>
      <w:r>
        <w:rPr>
          <w:rFonts w:hint="eastAsia" w:ascii="仿宋_GB2312" w:hAnsi="仿宋_GB2312" w:eastAsia="仿宋_GB2312" w:cs="仿宋_GB2312"/>
          <w:b/>
          <w:color w:val="333333"/>
          <w:kern w:val="0"/>
          <w:sz w:val="32"/>
          <w:szCs w:val="32"/>
          <w:shd w:val="clear" w:color="auto" w:fill="FFFFFF"/>
          <w:lang w:val="en-US" w:eastAsia="zh-CN" w:bidi="ar"/>
        </w:rPr>
        <w:t>2.</w:t>
      </w:r>
      <w:r>
        <w:rPr>
          <w:rFonts w:hint="eastAsia" w:ascii="仿宋_GB2312" w:hAnsi="仿宋_GB2312" w:eastAsia="仿宋_GB2312" w:cs="仿宋_GB2312"/>
          <w:b/>
          <w:color w:val="333333"/>
          <w:kern w:val="0"/>
          <w:sz w:val="32"/>
          <w:szCs w:val="32"/>
          <w:shd w:val="clear" w:color="auto" w:fill="FFFFFF"/>
          <w:lang w:bidi="ar"/>
        </w:rPr>
        <w:t>推行关键岗位竞聘上岗。</w:t>
      </w:r>
      <w:r>
        <w:rPr>
          <w:rFonts w:eastAsia="仿宋_GB2312"/>
          <w:color w:val="333333"/>
          <w:kern w:val="0"/>
          <w:sz w:val="32"/>
          <w:szCs w:val="32"/>
          <w:shd w:val="clear" w:color="auto" w:fill="FFFFFF"/>
          <w:lang w:bidi="ar"/>
        </w:rPr>
        <w:t>坚持党管干部原则与完善法人治理结构相结合、组织选拔与市场化选聘相结合，</w:t>
      </w:r>
      <w:r>
        <w:rPr>
          <w:rFonts w:hint="eastAsia" w:ascii="仿宋_GB2312" w:hAnsi="仿宋_GB2312" w:eastAsia="仿宋_GB2312" w:cs="仿宋_GB2312"/>
          <w:sz w:val="32"/>
          <w:szCs w:val="32"/>
          <w:shd w:val="clear" w:color="auto" w:fill="FFFFFF"/>
          <w:lang w:bidi="ar"/>
        </w:rPr>
        <w:t>2021年至2022年，管理序列M1-M2岗位、专业序列P2以上岗位、操作序列W3以上岗位每年</w:t>
      </w:r>
      <w:r>
        <w:rPr>
          <w:rFonts w:hint="eastAsia" w:ascii="仿宋_GB2312" w:hAnsi="仿宋_GB2312" w:eastAsia="仿宋_GB2312" w:cs="仿宋_GB2312"/>
          <w:color w:val="333333"/>
          <w:kern w:val="0"/>
          <w:sz w:val="32"/>
          <w:szCs w:val="32"/>
          <w:shd w:val="clear" w:color="auto" w:fill="FFFFFF"/>
          <w:lang w:bidi="ar"/>
        </w:rPr>
        <w:t>按新任职管理岗位不低于50%</w:t>
      </w:r>
      <w:r>
        <w:rPr>
          <w:rFonts w:eastAsia="仿宋_GB2312"/>
          <w:color w:val="333333"/>
          <w:kern w:val="0"/>
          <w:sz w:val="32"/>
          <w:szCs w:val="32"/>
          <w:shd w:val="clear" w:color="auto" w:fill="FFFFFF"/>
          <w:lang w:bidi="ar"/>
        </w:rPr>
        <w:t>实行竞聘上岗。坚持</w:t>
      </w:r>
      <w:r>
        <w:rPr>
          <w:rFonts w:hint="eastAsia" w:ascii="仿宋_GB2312" w:hAnsi="仿宋_GB2312" w:eastAsia="仿宋_GB2312" w:cs="仿宋_GB2312"/>
          <w:color w:val="333333"/>
          <w:kern w:val="0"/>
          <w:sz w:val="32"/>
          <w:szCs w:val="32"/>
          <w:shd w:val="clear" w:color="auto" w:fill="FFFFFF"/>
          <w:lang w:bidi="ar"/>
        </w:rPr>
        <w:t>“人岗相适、位能相称”</w:t>
      </w:r>
      <w:r>
        <w:rPr>
          <w:rFonts w:eastAsia="仿宋_GB2312"/>
          <w:color w:val="333333"/>
          <w:kern w:val="0"/>
          <w:sz w:val="32"/>
          <w:szCs w:val="32"/>
          <w:shd w:val="clear" w:color="auto" w:fill="FFFFFF"/>
          <w:lang w:bidi="ar"/>
        </w:rPr>
        <w:t>原则，打破年龄、资历、学历的限制，摒弃按部就班、论资排辈做法，大胆选拔任用德才兼备、业绩突出的年轻干部，实现</w:t>
      </w:r>
      <w:r>
        <w:rPr>
          <w:rFonts w:hint="eastAsia" w:eastAsia="仿宋_GB2312"/>
          <w:color w:val="333333"/>
          <w:kern w:val="0"/>
          <w:sz w:val="32"/>
          <w:szCs w:val="32"/>
          <w:shd w:val="clear" w:color="auto" w:fill="FFFFFF"/>
          <w:lang w:bidi="ar"/>
        </w:rPr>
        <w:t>在岗职工</w:t>
      </w:r>
      <w:r>
        <w:rPr>
          <w:rFonts w:eastAsia="仿宋_GB2312"/>
          <w:color w:val="333333"/>
          <w:kern w:val="0"/>
          <w:sz w:val="32"/>
          <w:szCs w:val="32"/>
          <w:shd w:val="clear" w:color="auto" w:fill="FFFFFF"/>
          <w:lang w:bidi="ar"/>
        </w:rPr>
        <w:t>年龄结构、专业结构和知识结构有效改善。（责任部门：</w:t>
      </w:r>
      <w:r>
        <w:rPr>
          <w:rFonts w:hint="eastAsia" w:eastAsia="仿宋_GB2312"/>
          <w:color w:val="333333"/>
          <w:kern w:val="0"/>
          <w:sz w:val="32"/>
          <w:szCs w:val="32"/>
          <w:shd w:val="clear" w:color="auto" w:fill="FFFFFF"/>
          <w:lang w:bidi="ar"/>
        </w:rPr>
        <w:t>人力资源</w:t>
      </w:r>
      <w:r>
        <w:rPr>
          <w:rFonts w:eastAsia="仿宋_GB2312"/>
          <w:color w:val="333333"/>
          <w:kern w:val="0"/>
          <w:sz w:val="32"/>
          <w:szCs w:val="32"/>
          <w:shd w:val="clear" w:color="auto" w:fill="FFFFFF"/>
          <w:lang w:bidi="ar"/>
        </w:rPr>
        <w:t>部）</w:t>
      </w:r>
    </w:p>
    <w:p>
      <w:pPr>
        <w:widowControl/>
        <w:shd w:val="clear" w:color="auto" w:fill="FFFFFF"/>
        <w:spacing w:line="560" w:lineRule="exact"/>
        <w:ind w:firstLine="643" w:firstLineChars="200"/>
        <w:rPr>
          <w:rFonts w:eastAsia="仿宋_GB2312"/>
          <w:color w:val="333333"/>
          <w:kern w:val="0"/>
          <w:sz w:val="32"/>
          <w:szCs w:val="32"/>
          <w:shd w:val="clear" w:color="auto" w:fill="FFFFFF"/>
        </w:rPr>
      </w:pPr>
      <w:r>
        <w:rPr>
          <w:rFonts w:hint="eastAsia" w:ascii="仿宋_GB2312" w:hAnsi="仿宋_GB2312" w:eastAsia="仿宋_GB2312" w:cs="仿宋_GB2312"/>
          <w:b/>
          <w:color w:val="333333"/>
          <w:kern w:val="0"/>
          <w:sz w:val="32"/>
          <w:szCs w:val="32"/>
          <w:shd w:val="clear" w:color="auto" w:fill="FFFFFF"/>
          <w:lang w:val="en-US" w:eastAsia="zh-CN" w:bidi="ar"/>
        </w:rPr>
        <w:t>3.</w:t>
      </w:r>
      <w:r>
        <w:rPr>
          <w:rFonts w:hint="eastAsia" w:ascii="仿宋_GB2312" w:hAnsi="仿宋_GB2312" w:eastAsia="仿宋_GB2312" w:cs="仿宋_GB2312"/>
          <w:b/>
          <w:color w:val="333333"/>
          <w:kern w:val="0"/>
          <w:sz w:val="32"/>
          <w:szCs w:val="32"/>
          <w:shd w:val="clear" w:color="auto" w:fill="FFFFFF"/>
          <w:lang w:bidi="ar"/>
        </w:rPr>
        <w:t>完善管理人员考核奖惩机制。</w:t>
      </w:r>
      <w:r>
        <w:rPr>
          <w:rFonts w:eastAsia="仿宋_GB2312"/>
          <w:color w:val="333333"/>
          <w:kern w:val="0"/>
          <w:sz w:val="32"/>
          <w:szCs w:val="32"/>
          <w:shd w:val="clear" w:color="auto" w:fill="FFFFFF"/>
          <w:lang w:bidi="ar"/>
        </w:rPr>
        <w:t>进一步健全完善绩效考核、任期综合评定的考核评价体系，针对不同岗位和目标任务细化定量与定性相结合的考核指标，客观公正组织考核评价。加强</w:t>
      </w:r>
      <w:r>
        <w:rPr>
          <w:rFonts w:eastAsia="仿宋_GB2312"/>
          <w:kern w:val="0"/>
          <w:sz w:val="32"/>
          <w:szCs w:val="32"/>
          <w:shd w:val="clear" w:color="auto" w:fill="FFFFFF"/>
          <w:lang w:bidi="ar"/>
        </w:rPr>
        <w:t>管理人员</w:t>
      </w:r>
      <w:r>
        <w:rPr>
          <w:rFonts w:eastAsia="仿宋_GB2312"/>
          <w:color w:val="333333"/>
          <w:kern w:val="0"/>
          <w:sz w:val="32"/>
          <w:szCs w:val="32"/>
          <w:shd w:val="clear" w:color="auto" w:fill="FFFFFF"/>
          <w:lang w:bidi="ar"/>
        </w:rPr>
        <w:t>考核结果运用，在</w:t>
      </w:r>
      <w:r>
        <w:rPr>
          <w:rFonts w:hint="eastAsia" w:ascii="仿宋_GB2312" w:hAnsi="仿宋_GB2312" w:eastAsia="仿宋_GB2312" w:cs="仿宋_GB2312"/>
          <w:color w:val="333333"/>
          <w:kern w:val="0"/>
          <w:sz w:val="32"/>
          <w:szCs w:val="32"/>
          <w:shd w:val="clear" w:color="auto" w:fill="FFFFFF"/>
          <w:lang w:bidi="ar"/>
        </w:rPr>
        <w:t>“能上能下”</w:t>
      </w:r>
      <w:r>
        <w:rPr>
          <w:rFonts w:eastAsia="仿宋_GB2312"/>
          <w:color w:val="333333"/>
          <w:kern w:val="0"/>
          <w:sz w:val="32"/>
          <w:szCs w:val="32"/>
          <w:shd w:val="clear" w:color="auto" w:fill="FFFFFF"/>
          <w:lang w:bidi="ar"/>
        </w:rPr>
        <w:t>上取得实质性突破。对年度考核结果为卓越和优秀</w:t>
      </w:r>
      <w:r>
        <w:rPr>
          <w:rFonts w:hint="eastAsia" w:eastAsia="仿宋_GB2312"/>
          <w:color w:val="333333"/>
          <w:kern w:val="0"/>
          <w:sz w:val="32"/>
          <w:szCs w:val="32"/>
          <w:shd w:val="clear" w:color="auto" w:fill="FFFFFF"/>
          <w:lang w:bidi="ar"/>
        </w:rPr>
        <w:t>等级</w:t>
      </w:r>
      <w:r>
        <w:rPr>
          <w:rFonts w:eastAsia="仿宋_GB2312"/>
          <w:color w:val="333333"/>
          <w:kern w:val="0"/>
          <w:sz w:val="32"/>
          <w:szCs w:val="32"/>
          <w:shd w:val="clear" w:color="auto" w:fill="FFFFFF"/>
          <w:lang w:bidi="ar"/>
        </w:rPr>
        <w:t>的，作为评先评优、职务晋升的重要参考依据；对年度考核结果为</w:t>
      </w:r>
      <w:r>
        <w:rPr>
          <w:rFonts w:hint="eastAsia" w:eastAsia="仿宋_GB2312"/>
          <w:color w:val="333333"/>
          <w:kern w:val="0"/>
          <w:sz w:val="32"/>
          <w:szCs w:val="32"/>
          <w:shd w:val="clear" w:color="auto" w:fill="FFFFFF"/>
          <w:lang w:bidi="ar"/>
        </w:rPr>
        <w:t>需改进等级</w:t>
      </w:r>
      <w:r>
        <w:rPr>
          <w:rFonts w:eastAsia="仿宋_GB2312"/>
          <w:color w:val="333333"/>
          <w:kern w:val="0"/>
          <w:sz w:val="32"/>
          <w:szCs w:val="32"/>
          <w:shd w:val="clear" w:color="auto" w:fill="FFFFFF"/>
          <w:lang w:bidi="ar"/>
        </w:rPr>
        <w:t>的，进行岗位调整或降级使用；强化日常考核监督，落实管理人员问责、召回管理办法，按照任期综合评定结果实行末位淘汰；推动不胜任岗位者及时退出岗位。（责任部门：</w:t>
      </w:r>
      <w:r>
        <w:rPr>
          <w:rFonts w:hint="eastAsia" w:eastAsia="仿宋_GB2312"/>
          <w:color w:val="333333"/>
          <w:kern w:val="0"/>
          <w:sz w:val="32"/>
          <w:szCs w:val="32"/>
          <w:shd w:val="clear" w:color="auto" w:fill="FFFFFF"/>
          <w:lang w:bidi="ar"/>
        </w:rPr>
        <w:t>人力资源部</w:t>
      </w:r>
      <w:r>
        <w:rPr>
          <w:rFonts w:eastAsia="仿宋_GB2312"/>
          <w:color w:val="333333"/>
          <w:kern w:val="0"/>
          <w:sz w:val="32"/>
          <w:szCs w:val="32"/>
          <w:shd w:val="clear" w:color="auto" w:fill="FFFFFF"/>
          <w:lang w:bidi="ar"/>
        </w:rPr>
        <w:t>、经管物资部）</w:t>
      </w:r>
    </w:p>
    <w:p>
      <w:pPr>
        <w:widowControl/>
        <w:shd w:val="clear" w:color="auto" w:fill="FFFFFF"/>
        <w:spacing w:line="560" w:lineRule="exact"/>
        <w:ind w:firstLine="643" w:firstLineChars="200"/>
        <w:rPr>
          <w:rFonts w:eastAsia="楷体_GB2312"/>
          <w:b/>
          <w:sz w:val="32"/>
          <w:szCs w:val="32"/>
          <w:lang w:bidi="ar"/>
        </w:rPr>
      </w:pPr>
      <w:r>
        <w:rPr>
          <w:rFonts w:eastAsia="楷体_GB2312"/>
          <w:b/>
          <w:sz w:val="32"/>
          <w:szCs w:val="32"/>
          <w:lang w:bidi="ar"/>
        </w:rPr>
        <w:t>（三）建立以</w:t>
      </w:r>
      <w:r>
        <w:rPr>
          <w:rFonts w:hint="eastAsia" w:eastAsia="楷体_GB2312"/>
          <w:b/>
          <w:sz w:val="32"/>
          <w:szCs w:val="32"/>
          <w:lang w:bidi="ar"/>
        </w:rPr>
        <w:t>岗位</w:t>
      </w:r>
      <w:r>
        <w:rPr>
          <w:rFonts w:eastAsia="楷体_GB2312"/>
          <w:b/>
          <w:sz w:val="32"/>
          <w:szCs w:val="32"/>
          <w:lang w:bidi="ar"/>
        </w:rPr>
        <w:t>评价为基础、绩效考核为核心的收入分配机制，实现工资决定和增长与市场化紧密接轨。</w:t>
      </w:r>
    </w:p>
    <w:p>
      <w:pPr>
        <w:widowControl/>
        <w:shd w:val="clear" w:color="auto" w:fill="FFFFFF"/>
        <w:spacing w:line="560" w:lineRule="exact"/>
        <w:ind w:firstLine="643" w:firstLineChars="200"/>
        <w:rPr>
          <w:rFonts w:eastAsia="仿宋_GB2312"/>
          <w:color w:val="000000"/>
          <w:sz w:val="32"/>
          <w:szCs w:val="32"/>
          <w:shd w:val="clear" w:color="auto" w:fill="FFFFFF"/>
          <w:lang w:bidi="ar"/>
        </w:rPr>
      </w:pPr>
      <w:r>
        <w:rPr>
          <w:rFonts w:hint="eastAsia" w:ascii="仿宋_GB2312" w:hAnsi="仿宋_GB2312" w:eastAsia="仿宋_GB2312" w:cs="仿宋_GB2312"/>
          <w:b/>
          <w:color w:val="333333"/>
          <w:kern w:val="0"/>
          <w:sz w:val="32"/>
          <w:szCs w:val="32"/>
          <w:shd w:val="clear" w:color="auto" w:fill="FFFFFF"/>
          <w:lang w:val="en-US" w:eastAsia="zh-CN" w:bidi="ar"/>
        </w:rPr>
        <w:t>1.建立岗位评价机制。</w:t>
      </w:r>
      <w:r>
        <w:rPr>
          <w:rFonts w:eastAsia="仿宋_GB2312"/>
          <w:kern w:val="0"/>
          <w:sz w:val="32"/>
          <w:szCs w:val="32"/>
          <w:shd w:val="clear" w:color="auto" w:fill="FFFFFF"/>
          <w:lang w:bidi="ar"/>
        </w:rPr>
        <w:t>根据岗位职责</w:t>
      </w:r>
      <w:r>
        <w:rPr>
          <w:rFonts w:hint="eastAsia" w:eastAsia="仿宋_GB2312"/>
          <w:kern w:val="0"/>
          <w:sz w:val="32"/>
          <w:szCs w:val="32"/>
          <w:shd w:val="clear" w:color="auto" w:fill="FFFFFF"/>
          <w:lang w:bidi="ar"/>
        </w:rPr>
        <w:t>、</w:t>
      </w:r>
      <w:r>
        <w:rPr>
          <w:rFonts w:eastAsia="仿宋_GB2312"/>
          <w:kern w:val="0"/>
          <w:sz w:val="32"/>
          <w:szCs w:val="32"/>
          <w:shd w:val="clear" w:color="auto" w:fill="FFFFFF"/>
          <w:lang w:bidi="ar"/>
        </w:rPr>
        <w:t>劳动强度</w:t>
      </w:r>
      <w:r>
        <w:rPr>
          <w:rFonts w:hint="eastAsia" w:eastAsia="仿宋_GB2312"/>
          <w:kern w:val="0"/>
          <w:sz w:val="32"/>
          <w:szCs w:val="32"/>
          <w:shd w:val="clear" w:color="auto" w:fill="FFFFFF"/>
          <w:lang w:bidi="ar"/>
        </w:rPr>
        <w:t>、</w:t>
      </w:r>
      <w:r>
        <w:rPr>
          <w:rFonts w:eastAsia="仿宋_GB2312"/>
          <w:kern w:val="0"/>
          <w:sz w:val="32"/>
          <w:szCs w:val="32"/>
          <w:shd w:val="clear" w:color="auto" w:fill="FFFFFF"/>
          <w:lang w:bidi="ar"/>
        </w:rPr>
        <w:t>技能技术</w:t>
      </w:r>
      <w:r>
        <w:rPr>
          <w:rFonts w:hint="eastAsia" w:eastAsia="仿宋_GB2312"/>
          <w:kern w:val="0"/>
          <w:sz w:val="32"/>
          <w:szCs w:val="32"/>
          <w:shd w:val="clear" w:color="auto" w:fill="FFFFFF"/>
          <w:lang w:bidi="ar"/>
        </w:rPr>
        <w:t>、</w:t>
      </w:r>
      <w:r>
        <w:rPr>
          <w:rFonts w:eastAsia="仿宋_GB2312"/>
          <w:kern w:val="0"/>
          <w:sz w:val="32"/>
          <w:szCs w:val="32"/>
          <w:shd w:val="clear" w:color="auto" w:fill="FFFFFF"/>
          <w:lang w:bidi="ar"/>
        </w:rPr>
        <w:t>岗位市场化工资水平等因素全面开展岗位评价</w:t>
      </w:r>
      <w:r>
        <w:rPr>
          <w:rFonts w:hint="eastAsia" w:eastAsia="仿宋_GB2312"/>
          <w:kern w:val="0"/>
          <w:sz w:val="32"/>
          <w:szCs w:val="32"/>
          <w:shd w:val="clear" w:color="auto" w:fill="FFFFFF"/>
          <w:lang w:bidi="ar"/>
        </w:rPr>
        <w:t>，</w:t>
      </w:r>
      <w:r>
        <w:rPr>
          <w:rFonts w:eastAsia="仿宋_GB2312"/>
          <w:kern w:val="0"/>
          <w:sz w:val="32"/>
          <w:szCs w:val="32"/>
          <w:shd w:val="clear" w:color="auto" w:fill="FFFFFF"/>
          <w:lang w:bidi="ar"/>
        </w:rPr>
        <w:t>建立与岗位管理体系相匹配差异化薪酬标准</w:t>
      </w:r>
      <w:r>
        <w:rPr>
          <w:rFonts w:hint="eastAsia" w:eastAsia="仿宋_GB2312"/>
          <w:kern w:val="0"/>
          <w:sz w:val="32"/>
          <w:szCs w:val="32"/>
          <w:shd w:val="clear" w:color="auto" w:fill="FFFFFF"/>
          <w:lang w:bidi="ar"/>
        </w:rPr>
        <w:t>，拉开各岗位间收入分配差距，</w:t>
      </w:r>
      <w:r>
        <w:rPr>
          <w:rFonts w:eastAsia="仿宋_GB2312"/>
          <w:kern w:val="0"/>
          <w:sz w:val="32"/>
          <w:szCs w:val="32"/>
          <w:shd w:val="clear" w:color="auto" w:fill="FFFFFF"/>
          <w:lang w:bidi="ar"/>
        </w:rPr>
        <w:t>进一步加大对</w:t>
      </w:r>
      <w:r>
        <w:rPr>
          <w:rFonts w:eastAsia="仿宋_GB2312"/>
          <w:color w:val="000000"/>
          <w:sz w:val="32"/>
          <w:szCs w:val="32"/>
          <w:shd w:val="clear" w:color="auto" w:fill="FFFFFF"/>
          <w:lang w:bidi="ar"/>
        </w:rPr>
        <w:t>生产一线、关键岗位和紧缺急需岗位的工资分配倾斜力度</w:t>
      </w:r>
      <w:r>
        <w:rPr>
          <w:rFonts w:hint="eastAsia" w:eastAsia="仿宋_GB2312"/>
          <w:color w:val="000000"/>
          <w:sz w:val="32"/>
          <w:szCs w:val="32"/>
          <w:shd w:val="clear" w:color="auto" w:fill="FFFFFF"/>
          <w:lang w:bidi="ar"/>
        </w:rPr>
        <w:t>，</w:t>
      </w:r>
      <w:r>
        <w:rPr>
          <w:rFonts w:eastAsia="仿宋_GB2312"/>
          <w:color w:val="000000"/>
          <w:sz w:val="32"/>
          <w:szCs w:val="32"/>
          <w:shd w:val="clear" w:color="auto" w:fill="FFFFFF"/>
          <w:lang w:bidi="ar"/>
        </w:rPr>
        <w:t>稳定关键岗位职工队伍</w:t>
      </w:r>
      <w:r>
        <w:rPr>
          <w:rFonts w:hint="eastAsia" w:eastAsia="仿宋_GB2312"/>
          <w:color w:val="000000"/>
          <w:sz w:val="32"/>
          <w:szCs w:val="32"/>
          <w:shd w:val="clear" w:color="auto" w:fill="FFFFFF"/>
          <w:lang w:bidi="ar"/>
        </w:rPr>
        <w:t>。</w:t>
      </w:r>
      <w:r>
        <w:rPr>
          <w:rFonts w:eastAsia="仿宋_GB2312"/>
          <w:color w:val="333333"/>
          <w:kern w:val="0"/>
          <w:sz w:val="32"/>
          <w:szCs w:val="32"/>
          <w:shd w:val="clear" w:color="auto" w:fill="FFFFFF"/>
          <w:lang w:bidi="ar"/>
        </w:rPr>
        <w:t>（责任部门：</w:t>
      </w:r>
      <w:r>
        <w:rPr>
          <w:rFonts w:hint="eastAsia" w:eastAsia="仿宋_GB2312"/>
          <w:color w:val="333333"/>
          <w:kern w:val="0"/>
          <w:sz w:val="32"/>
          <w:szCs w:val="32"/>
          <w:shd w:val="clear" w:color="auto" w:fill="FFFFFF"/>
          <w:lang w:bidi="ar"/>
        </w:rPr>
        <w:t>人力资源</w:t>
      </w:r>
      <w:r>
        <w:rPr>
          <w:rFonts w:eastAsia="仿宋_GB2312"/>
          <w:color w:val="333333"/>
          <w:kern w:val="0"/>
          <w:sz w:val="32"/>
          <w:szCs w:val="32"/>
          <w:shd w:val="clear" w:color="auto" w:fill="FFFFFF"/>
          <w:lang w:bidi="ar"/>
        </w:rPr>
        <w:t>部</w:t>
      </w:r>
      <w:r>
        <w:rPr>
          <w:rFonts w:hint="eastAsia" w:eastAsia="仿宋_GB2312"/>
          <w:color w:val="333333"/>
          <w:kern w:val="0"/>
          <w:sz w:val="32"/>
          <w:szCs w:val="32"/>
          <w:shd w:val="clear" w:color="auto" w:fill="FFFFFF"/>
          <w:lang w:bidi="ar"/>
        </w:rPr>
        <w:t>及</w:t>
      </w:r>
      <w:r>
        <w:rPr>
          <w:rFonts w:eastAsia="仿宋_GB2312"/>
          <w:color w:val="333333"/>
          <w:kern w:val="0"/>
          <w:sz w:val="32"/>
          <w:szCs w:val="32"/>
          <w:shd w:val="clear" w:color="auto" w:fill="FFFFFF"/>
          <w:lang w:bidi="ar"/>
        </w:rPr>
        <w:t>相关部室）</w:t>
      </w:r>
    </w:p>
    <w:p>
      <w:pPr>
        <w:widowControl/>
        <w:shd w:val="clear" w:color="auto" w:fill="FFFFFF"/>
        <w:spacing w:line="560" w:lineRule="exact"/>
        <w:ind w:firstLine="643" w:firstLineChars="200"/>
        <w:rPr>
          <w:rFonts w:hint="eastAsia" w:eastAsia="仿宋_GB2312"/>
          <w:color w:val="333333"/>
          <w:kern w:val="0"/>
          <w:sz w:val="32"/>
          <w:szCs w:val="32"/>
          <w:shd w:val="clear" w:color="auto" w:fill="FFFFFF"/>
        </w:rPr>
      </w:pPr>
      <w:r>
        <w:rPr>
          <w:rFonts w:hint="eastAsia" w:ascii="仿宋_GB2312" w:hAnsi="仿宋_GB2312" w:eastAsia="仿宋_GB2312" w:cs="仿宋_GB2312"/>
          <w:b/>
          <w:color w:val="333333"/>
          <w:kern w:val="0"/>
          <w:sz w:val="32"/>
          <w:szCs w:val="32"/>
          <w:shd w:val="clear" w:color="auto" w:fill="FFFFFF"/>
          <w:lang w:val="en-US" w:eastAsia="zh-CN" w:bidi="ar"/>
        </w:rPr>
        <w:t>2.推行差异化工资分配机制。</w:t>
      </w:r>
      <w:r>
        <w:rPr>
          <w:rFonts w:eastAsia="仿宋_GB2312"/>
          <w:kern w:val="0"/>
          <w:sz w:val="32"/>
          <w:szCs w:val="32"/>
          <w:shd w:val="clear" w:color="auto" w:fill="FFFFFF"/>
          <w:lang w:bidi="ar"/>
        </w:rPr>
        <w:t>实施以岗位评价为基础的宽带薪酬制度，根据岗位特点、目标任务和业绩考核结果</w:t>
      </w:r>
      <w:r>
        <w:rPr>
          <w:rFonts w:hint="eastAsia" w:eastAsia="仿宋_GB2312"/>
          <w:kern w:val="0"/>
          <w:sz w:val="32"/>
          <w:szCs w:val="32"/>
          <w:shd w:val="clear" w:color="auto" w:fill="FFFFFF"/>
          <w:lang w:bidi="ar"/>
        </w:rPr>
        <w:t>，</w:t>
      </w:r>
      <w:r>
        <w:rPr>
          <w:rFonts w:eastAsia="仿宋_GB2312"/>
          <w:color w:val="000000"/>
          <w:kern w:val="0"/>
          <w:sz w:val="32"/>
          <w:szCs w:val="32"/>
          <w:shd w:val="clear" w:color="auto" w:fill="FFFFFF"/>
          <w:lang w:bidi="ar"/>
        </w:rPr>
        <w:t>建立对作出重大贡献或业绩突出的管技人员工资高于上一级岗位的激励机制</w:t>
      </w:r>
      <w:r>
        <w:rPr>
          <w:rFonts w:hint="eastAsia" w:eastAsia="仿宋_GB2312"/>
          <w:kern w:val="0"/>
          <w:sz w:val="32"/>
          <w:szCs w:val="32"/>
          <w:shd w:val="clear" w:color="auto" w:fill="FFFFFF"/>
          <w:lang w:bidi="ar"/>
        </w:rPr>
        <w:t>。</w:t>
      </w:r>
      <w:r>
        <w:rPr>
          <w:rFonts w:hint="eastAsia" w:ascii="仿宋_GB2312" w:hAnsi="仿宋_GB2312" w:eastAsia="仿宋_GB2312" w:cs="仿宋_GB2312"/>
          <w:sz w:val="32"/>
          <w:szCs w:val="32"/>
        </w:rPr>
        <w:t>稳步推进职工工资水平调整，按照“老人老办法、新人新办法”原则，对工资水平下降的岗位，2021年老人保持原工资标准不变，新任职人员执行新工资标准。2022年开始全面启用新工资标准；按照“小步快跑”的原则，通过效益工资兑现、绩效和安全工资考核等方式，逐步增加职工收入；进一步优化收入分配结构，合理设定不同岗位的固定工资和浮动工资比例，适度拉开收入差距，充分体现工资分配的价值导向；继续加大对关键岗位的薪酬分配倾斜力度，吸引和留住高技能人才，切实增强公司薪酬水平在周边市场的竞争力。</w:t>
      </w:r>
      <w:r>
        <w:rPr>
          <w:rFonts w:eastAsia="仿宋_GB2312"/>
          <w:color w:val="333333"/>
          <w:kern w:val="0"/>
          <w:sz w:val="32"/>
          <w:szCs w:val="32"/>
          <w:shd w:val="clear" w:color="auto" w:fill="FFFFFF"/>
          <w:lang w:bidi="ar"/>
        </w:rPr>
        <w:t>（责任部门：</w:t>
      </w:r>
      <w:r>
        <w:rPr>
          <w:rFonts w:hint="eastAsia" w:eastAsia="仿宋_GB2312"/>
          <w:color w:val="333333"/>
          <w:kern w:val="0"/>
          <w:sz w:val="32"/>
          <w:szCs w:val="32"/>
          <w:shd w:val="clear" w:color="auto" w:fill="FFFFFF"/>
          <w:lang w:bidi="ar"/>
        </w:rPr>
        <w:t>人力</w:t>
      </w:r>
      <w:r>
        <w:rPr>
          <w:rFonts w:eastAsia="仿宋_GB2312"/>
          <w:color w:val="333333"/>
          <w:kern w:val="0"/>
          <w:sz w:val="32"/>
          <w:szCs w:val="32"/>
          <w:shd w:val="clear" w:color="auto" w:fill="FFFFFF"/>
          <w:lang w:bidi="ar"/>
        </w:rPr>
        <w:t>资源部）</w:t>
      </w:r>
    </w:p>
    <w:p>
      <w:pPr>
        <w:widowControl/>
        <w:shd w:val="clear" w:color="auto" w:fill="FFFFFF"/>
        <w:spacing w:line="560" w:lineRule="exact"/>
        <w:ind w:firstLine="643" w:firstLineChars="200"/>
        <w:rPr>
          <w:rFonts w:eastAsia="仿宋_GB2312"/>
          <w:color w:val="333333"/>
          <w:kern w:val="0"/>
          <w:sz w:val="32"/>
          <w:szCs w:val="32"/>
          <w:shd w:val="clear" w:color="auto" w:fill="FFFFFF"/>
        </w:rPr>
      </w:pPr>
      <w:r>
        <w:rPr>
          <w:rFonts w:hint="eastAsia" w:ascii="仿宋_GB2312" w:hAnsi="仿宋_GB2312" w:eastAsia="仿宋_GB2312" w:cs="仿宋_GB2312"/>
          <w:b/>
          <w:color w:val="333333"/>
          <w:kern w:val="0"/>
          <w:sz w:val="32"/>
          <w:szCs w:val="32"/>
          <w:shd w:val="clear" w:color="auto" w:fill="FFFFFF"/>
          <w:lang w:val="en-US" w:eastAsia="zh-CN" w:bidi="ar"/>
        </w:rPr>
        <w:t>3.强化绩效考核管理。</w:t>
      </w:r>
      <w:r>
        <w:rPr>
          <w:rFonts w:eastAsia="仿宋_GB2312"/>
          <w:kern w:val="0"/>
          <w:sz w:val="32"/>
          <w:szCs w:val="32"/>
          <w:shd w:val="clear" w:color="auto" w:fill="FFFFFF"/>
          <w:lang w:bidi="ar"/>
        </w:rPr>
        <w:t>推进全员绩效考核，针对岗位特点、目标任务科学合理制定考核指标，构建以职工所在部门考核为基础、职工业绩为依据的绩效考核评价体系，发挥绩效考核的激励导向作用。强化绩效考核结果运用，考核结果与薪酬增减、职务升降、岗位调整、评先评优、业务培训等事项紧密挂钩。</w:t>
      </w:r>
      <w:r>
        <w:rPr>
          <w:rFonts w:eastAsia="仿宋_GB2312"/>
          <w:color w:val="333333"/>
          <w:kern w:val="0"/>
          <w:sz w:val="32"/>
          <w:szCs w:val="32"/>
          <w:shd w:val="clear" w:color="auto" w:fill="FFFFFF"/>
          <w:lang w:bidi="ar"/>
        </w:rPr>
        <w:t>（责任部门：经管物资部、</w:t>
      </w:r>
      <w:r>
        <w:rPr>
          <w:rFonts w:hint="eastAsia" w:eastAsia="仿宋_GB2312"/>
          <w:color w:val="333333"/>
          <w:kern w:val="0"/>
          <w:sz w:val="32"/>
          <w:szCs w:val="32"/>
          <w:shd w:val="clear" w:color="auto" w:fill="FFFFFF"/>
          <w:lang w:bidi="ar"/>
        </w:rPr>
        <w:t>人力</w:t>
      </w:r>
      <w:r>
        <w:rPr>
          <w:rFonts w:eastAsia="仿宋_GB2312"/>
          <w:color w:val="333333"/>
          <w:kern w:val="0"/>
          <w:sz w:val="32"/>
          <w:szCs w:val="32"/>
          <w:shd w:val="clear" w:color="auto" w:fill="FFFFFF"/>
          <w:lang w:bidi="ar"/>
        </w:rPr>
        <w:t>资源部）</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四、实施步骤</w:t>
      </w:r>
    </w:p>
    <w:p>
      <w:pPr>
        <w:spacing w:line="560" w:lineRule="exact"/>
        <w:ind w:firstLine="643" w:firstLineChars="200"/>
        <w:rPr>
          <w:rFonts w:eastAsia="楷体_GB2312"/>
          <w:b/>
          <w:sz w:val="32"/>
          <w:szCs w:val="32"/>
          <w:lang w:bidi="ar"/>
        </w:rPr>
      </w:pPr>
      <w:r>
        <w:rPr>
          <w:rFonts w:hint="eastAsia" w:eastAsia="楷体_GB2312"/>
          <w:b/>
          <w:sz w:val="32"/>
          <w:szCs w:val="32"/>
          <w:lang w:bidi="ar"/>
        </w:rPr>
        <w:t>（一）改革方案宣传学习阶段（2021年1月份）。</w:t>
      </w:r>
    </w:p>
    <w:p>
      <w:pPr>
        <w:spacing w:line="560" w:lineRule="exact"/>
        <w:ind w:firstLine="640" w:firstLineChars="200"/>
        <w:rPr>
          <w:rFonts w:ascii="黑体" w:hAnsi="黑体" w:eastAsia="黑体" w:cs="黑体"/>
          <w:sz w:val="32"/>
          <w:szCs w:val="32"/>
        </w:rPr>
      </w:pPr>
      <w:r>
        <w:rPr>
          <w:rFonts w:hint="eastAsia" w:ascii="仿宋_GB2312" w:hAnsi="仿宋_GB2312" w:eastAsia="仿宋_GB2312" w:cs="仿宋_GB2312"/>
          <w:sz w:val="32"/>
          <w:szCs w:val="32"/>
        </w:rPr>
        <w:t>利用公司晨会、部门班前会、公司内网、宣传栏等平台做好政策解读工作，有重点、分层次的开展三项制度改革各项政策的宣传学习，让全体职工统一思想、凝聚共识，不断转变观念、解放思想、坚定信心，营造深化改革的积极氛围。针对广大职工关心的政策问题，做好相关解读工作，让职工正确对待改革，支持改革。</w:t>
      </w:r>
    </w:p>
    <w:p>
      <w:pPr>
        <w:spacing w:line="560" w:lineRule="exact"/>
        <w:ind w:firstLine="643" w:firstLineChars="200"/>
        <w:rPr>
          <w:rFonts w:eastAsia="楷体_GB2312"/>
          <w:b/>
          <w:sz w:val="32"/>
          <w:szCs w:val="32"/>
          <w:lang w:bidi="ar"/>
        </w:rPr>
      </w:pPr>
      <w:r>
        <w:rPr>
          <w:rFonts w:hint="eastAsia" w:eastAsia="楷体_GB2312"/>
          <w:b/>
          <w:sz w:val="32"/>
          <w:szCs w:val="32"/>
          <w:lang w:bidi="ar"/>
        </w:rPr>
        <w:t>（二）改革方案修订完善阶段（2021年1-7月份）</w:t>
      </w:r>
    </w:p>
    <w:p>
      <w:pPr>
        <w:spacing w:line="560" w:lineRule="exact"/>
        <w:ind w:firstLine="640" w:firstLineChars="200"/>
        <w:rPr>
          <w:rFonts w:eastAsia="仿宋_GB2312"/>
          <w:sz w:val="32"/>
          <w:szCs w:val="32"/>
          <w:lang w:bidi="ar"/>
        </w:rPr>
      </w:pPr>
      <w:r>
        <w:rPr>
          <w:rFonts w:hint="eastAsia" w:ascii="仿宋_GB2312" w:hAnsi="仿宋_GB2312" w:eastAsia="仿宋_GB2312" w:cs="仿宋_GB2312"/>
          <w:sz w:val="32"/>
          <w:szCs w:val="32"/>
          <w:lang w:bidi="ar"/>
        </w:rPr>
        <w:t>2021年1</w:t>
      </w:r>
      <w:r>
        <w:rPr>
          <w:rFonts w:hint="eastAsia" w:eastAsia="仿宋_GB2312"/>
          <w:sz w:val="32"/>
          <w:szCs w:val="32"/>
          <w:lang w:bidi="ar"/>
        </w:rPr>
        <w:t>月份正式启动三项制度改革工作，开展机构调整、定编定员、岗位聘任、管理人员竞聘上岗、差异化工资分配、全员绩效考核等相关制度方案，边谋划边推动、边试点边完善，为集团公司全面推动三项制度改革奠定坚实基础。</w:t>
      </w:r>
    </w:p>
    <w:p>
      <w:pPr>
        <w:spacing w:line="560" w:lineRule="exact"/>
        <w:ind w:firstLine="643" w:firstLineChars="200"/>
        <w:rPr>
          <w:rFonts w:eastAsia="楷体_GB2312"/>
          <w:b/>
          <w:sz w:val="32"/>
          <w:szCs w:val="32"/>
          <w:lang w:bidi="ar"/>
        </w:rPr>
      </w:pPr>
      <w:r>
        <w:rPr>
          <w:rFonts w:hint="eastAsia" w:eastAsia="楷体_GB2312"/>
          <w:b/>
          <w:sz w:val="32"/>
          <w:szCs w:val="32"/>
          <w:lang w:bidi="ar"/>
        </w:rPr>
        <w:t>（三）深化巩固阶段（2021年8月-2022年12月份）</w:t>
      </w:r>
    </w:p>
    <w:p>
      <w:pPr>
        <w:spacing w:line="560" w:lineRule="exact"/>
        <w:ind w:firstLine="640" w:firstLineChars="200"/>
        <w:rPr>
          <w:rFonts w:eastAsia="仿宋_GB2312"/>
          <w:sz w:val="32"/>
          <w:szCs w:val="32"/>
          <w:lang w:bidi="ar"/>
        </w:rPr>
      </w:pPr>
      <w:r>
        <w:rPr>
          <w:rFonts w:hint="eastAsia" w:eastAsia="仿宋_GB2312"/>
          <w:sz w:val="32"/>
          <w:szCs w:val="32"/>
          <w:lang w:bidi="ar"/>
        </w:rPr>
        <w:t>坚持以选人用人和建立约束机制为重点，通过不断强化劳动合同管理、坚持岗位评聘和竞聘管理、优化人力资源配置、差异化工资分配等措施，进一步巩固和深化试运行阶段改革成果。</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五、组织保障</w:t>
      </w:r>
    </w:p>
    <w:p>
      <w:pPr>
        <w:spacing w:line="560" w:lineRule="exact"/>
        <w:ind w:firstLine="643" w:firstLineChars="200"/>
        <w:rPr>
          <w:rFonts w:eastAsia="楷体_GB2312"/>
          <w:b/>
          <w:sz w:val="32"/>
          <w:szCs w:val="32"/>
          <w:lang w:bidi="ar"/>
        </w:rPr>
      </w:pPr>
      <w:r>
        <w:rPr>
          <w:rFonts w:hint="eastAsia" w:eastAsia="楷体_GB2312"/>
          <w:b/>
          <w:sz w:val="32"/>
          <w:szCs w:val="32"/>
          <w:lang w:bidi="ar"/>
        </w:rPr>
        <w:t>（一）强化组织领导。</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成立改革领导小组，</w:t>
      </w:r>
      <w:r>
        <w:rPr>
          <w:rFonts w:ascii="仿宋_GB2312" w:hAnsi="仿宋_GB2312" w:eastAsia="仿宋_GB2312" w:cs="仿宋_GB2312"/>
          <w:sz w:val="32"/>
          <w:szCs w:val="32"/>
        </w:rPr>
        <w:t>全面统筹协调三项制度改革</w:t>
      </w:r>
      <w:r>
        <w:rPr>
          <w:rFonts w:hint="eastAsia" w:ascii="仿宋_GB2312" w:hAnsi="仿宋_GB2312" w:eastAsia="仿宋_GB2312" w:cs="仿宋_GB2312"/>
          <w:sz w:val="32"/>
          <w:szCs w:val="32"/>
        </w:rPr>
        <w:t>。</w:t>
      </w:r>
    </w:p>
    <w:p>
      <w:p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组  长：</w:t>
      </w:r>
      <w:r>
        <w:rPr>
          <w:rFonts w:hint="eastAsia" w:ascii="仿宋_GB2312" w:hAnsi="仿宋_GB2312" w:eastAsia="仿宋_GB2312" w:cs="仿宋_GB2312"/>
          <w:sz w:val="32"/>
          <w:szCs w:val="32"/>
          <w:lang w:eastAsia="zh-CN"/>
        </w:rPr>
        <w:t>任安全</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党委书记</w:t>
      </w:r>
      <w:r>
        <w:rPr>
          <w:rFonts w:hint="eastAsia" w:ascii="仿宋_GB2312" w:hAnsi="仿宋_GB2312" w:eastAsia="仿宋_GB2312" w:cs="仿宋_GB2312"/>
          <w:sz w:val="32"/>
          <w:szCs w:val="32"/>
          <w:lang w:eastAsia="zh-CN"/>
        </w:rPr>
        <w:t>、执行董事、工会主席</w:t>
      </w:r>
    </w:p>
    <w:p>
      <w:pPr>
        <w:spacing w:line="560" w:lineRule="exact"/>
        <w:ind w:firstLine="1920" w:firstLineChars="6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李</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胜</w:t>
      </w:r>
      <w:r>
        <w:rPr>
          <w:rFonts w:hint="eastAsia" w:ascii="仿宋_GB2312" w:hAnsi="仿宋_GB2312" w:eastAsia="仿宋_GB2312" w:cs="仿宋_GB2312"/>
          <w:sz w:val="32"/>
          <w:szCs w:val="32"/>
          <w:lang w:val="en-US" w:eastAsia="zh-CN"/>
        </w:rPr>
        <w:t xml:space="preserve"> 党委副书记、</w:t>
      </w:r>
      <w:r>
        <w:rPr>
          <w:rFonts w:hint="eastAsia" w:ascii="仿宋_GB2312" w:hAnsi="仿宋_GB2312" w:eastAsia="仿宋_GB2312" w:cs="仿宋_GB2312"/>
          <w:sz w:val="32"/>
          <w:szCs w:val="32"/>
        </w:rPr>
        <w:t>经理</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副组长：</w:t>
      </w:r>
      <w:r>
        <w:rPr>
          <w:rFonts w:hint="eastAsia" w:ascii="仿宋_GB2312" w:hAnsi="仿宋_GB2312" w:eastAsia="仿宋_GB2312" w:cs="仿宋_GB2312"/>
          <w:sz w:val="32"/>
          <w:szCs w:val="32"/>
          <w:lang w:eastAsia="zh-CN"/>
        </w:rPr>
        <w:t>陈争峰</w:t>
      </w:r>
      <w:r>
        <w:rPr>
          <w:rFonts w:hint="eastAsia" w:ascii="仿宋_GB2312" w:hAnsi="仿宋_GB2312" w:eastAsia="仿宋_GB2312" w:cs="仿宋_GB2312"/>
          <w:sz w:val="32"/>
          <w:szCs w:val="32"/>
          <w:lang w:val="en-US" w:eastAsia="zh-CN"/>
        </w:rPr>
        <w:t xml:space="preserve"> 党委委员、纪委书记、副经理</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许令奇 党委委员、总工程师、副经理</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郭  勇 党委委员、副经理</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张荣江 副经理</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组  员：</w:t>
      </w:r>
      <w:r>
        <w:rPr>
          <w:rFonts w:hint="eastAsia" w:ascii="仿宋_GB2312" w:hAnsi="仿宋_GB2312" w:eastAsia="仿宋_GB2312" w:cs="仿宋_GB2312"/>
          <w:sz w:val="32"/>
          <w:szCs w:val="32"/>
          <w:lang w:val="en-US" w:eastAsia="zh-CN"/>
        </w:rPr>
        <w:t xml:space="preserve">陈  迎  </w:t>
      </w:r>
      <w:r>
        <w:rPr>
          <w:rFonts w:hint="eastAsia" w:ascii="仿宋_GB2312" w:hAnsi="仿宋_GB2312" w:eastAsia="仿宋_GB2312" w:cs="仿宋_GB2312"/>
          <w:sz w:val="32"/>
          <w:szCs w:val="32"/>
          <w:lang w:eastAsia="zh-CN"/>
        </w:rPr>
        <w:t>任立志</w:t>
      </w:r>
      <w:r>
        <w:rPr>
          <w:rFonts w:hint="eastAsia" w:ascii="仿宋_GB2312" w:hAnsi="仿宋_GB2312" w:eastAsia="仿宋_GB2312" w:cs="仿宋_GB2312"/>
          <w:sz w:val="32"/>
          <w:szCs w:val="32"/>
          <w:lang w:val="en-US" w:eastAsia="zh-CN"/>
        </w:rPr>
        <w:t xml:space="preserve">  戴  军  张甫全  武云飞</w:t>
      </w:r>
    </w:p>
    <w:p>
      <w:pPr>
        <w:spacing w:line="56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方仁付  曹绪宏  王少武  卢  军  陈四华  </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领导小组下设办公室在人力资源部，负责改革方案的具体实施，协调督促改革政策的落实，及时总结改革过程中存在的问题，提出意见和建议。</w:t>
      </w:r>
    </w:p>
    <w:p>
      <w:pPr>
        <w:spacing w:line="560" w:lineRule="exact"/>
        <w:ind w:firstLine="643" w:firstLineChars="200"/>
        <w:rPr>
          <w:rFonts w:eastAsia="楷体_GB2312"/>
          <w:b/>
          <w:sz w:val="32"/>
          <w:szCs w:val="32"/>
          <w:lang w:bidi="ar"/>
        </w:rPr>
      </w:pPr>
      <w:r>
        <w:rPr>
          <w:rFonts w:eastAsia="楷体_GB2312"/>
          <w:b/>
          <w:sz w:val="32"/>
          <w:szCs w:val="32"/>
          <w:lang w:bidi="ar"/>
        </w:rPr>
        <w:t>（二）强化统筹谋划。</w:t>
      </w:r>
    </w:p>
    <w:p>
      <w:pPr>
        <w:widowControl/>
        <w:shd w:val="clear" w:color="auto" w:fill="FFFFFF"/>
        <w:spacing w:line="560" w:lineRule="exact"/>
        <w:ind w:firstLine="640" w:firstLineChars="200"/>
        <w:rPr>
          <w:rFonts w:eastAsia="仿宋_GB2312"/>
          <w:kern w:val="0"/>
          <w:sz w:val="32"/>
          <w:szCs w:val="32"/>
          <w:shd w:val="clear" w:color="auto" w:fill="FFFFFF"/>
        </w:rPr>
      </w:pPr>
      <w:r>
        <w:rPr>
          <w:rFonts w:eastAsia="仿宋_GB2312"/>
          <w:kern w:val="0"/>
          <w:sz w:val="32"/>
          <w:szCs w:val="32"/>
          <w:shd w:val="clear" w:color="auto" w:fill="FFFFFF"/>
          <w:lang w:bidi="ar"/>
        </w:rPr>
        <w:t>建立健全工作制度和运行机制，坚持以问题为导向，紧密结合公司实际，认真研究改革的思路目标、方向路径，细化分解落实，针对薄弱环节强化攻坚，坚决补齐短板，推动三项制度改革真正落地见效。</w:t>
      </w:r>
    </w:p>
    <w:p>
      <w:pPr>
        <w:spacing w:line="560" w:lineRule="exact"/>
        <w:ind w:firstLine="643" w:firstLineChars="200"/>
        <w:rPr>
          <w:rFonts w:eastAsia="楷体_GB2312"/>
          <w:b/>
          <w:sz w:val="32"/>
          <w:szCs w:val="32"/>
          <w:lang w:bidi="ar"/>
        </w:rPr>
      </w:pPr>
      <w:r>
        <w:rPr>
          <w:rFonts w:eastAsia="楷体_GB2312"/>
          <w:b/>
          <w:sz w:val="32"/>
          <w:szCs w:val="32"/>
          <w:lang w:bidi="ar"/>
        </w:rPr>
        <w:t>（三）强化</w:t>
      </w:r>
      <w:r>
        <w:rPr>
          <w:rFonts w:hint="eastAsia" w:eastAsia="楷体_GB2312"/>
          <w:b/>
          <w:sz w:val="32"/>
          <w:szCs w:val="32"/>
          <w:lang w:bidi="ar"/>
        </w:rPr>
        <w:t>落实，</w:t>
      </w:r>
      <w:r>
        <w:rPr>
          <w:rFonts w:eastAsia="楷体_GB2312"/>
          <w:b/>
          <w:sz w:val="32"/>
          <w:szCs w:val="32"/>
          <w:lang w:bidi="ar"/>
        </w:rPr>
        <w:t>务求实效。</w:t>
      </w:r>
    </w:p>
    <w:p>
      <w:pPr>
        <w:pStyle w:val="6"/>
        <w:spacing w:line="640" w:lineRule="atLeast"/>
        <w:ind w:firstLine="640" w:firstLineChars="200"/>
        <w:rPr>
          <w:rFonts w:hint="default" w:ascii="仿宋_GB2312" w:hAnsi="仿宋_GB2312" w:eastAsia="仿宋_GB2312" w:cs="仿宋_GB2312"/>
          <w:b w:val="0"/>
          <w:bCs/>
          <w:color w:val="000000"/>
          <w:sz w:val="32"/>
          <w:szCs w:val="32"/>
          <w:lang w:val="en-US" w:eastAsia="zh-CN"/>
        </w:rPr>
      </w:pPr>
      <w:r>
        <w:rPr>
          <w:rFonts w:hint="eastAsia" w:eastAsia="仿宋_GB2312"/>
          <w:kern w:val="0"/>
          <w:sz w:val="32"/>
          <w:szCs w:val="32"/>
          <w:shd w:val="clear" w:color="auto" w:fill="FFFFFF"/>
          <w:lang w:bidi="ar"/>
        </w:rPr>
        <w:t>根据集团公司深化三项制度改革总体署要求，制定切实可行的工作方案、阶段任务计划，开展深入调查，广泛对标，细化工作目标和措施，分步实施，协同推进；突出重点，集中力量推进改革制度和措施，强化机制，力求实效；</w:t>
      </w:r>
      <w:r>
        <w:rPr>
          <w:rFonts w:eastAsia="仿宋_GB2312"/>
          <w:kern w:val="0"/>
          <w:sz w:val="32"/>
          <w:szCs w:val="32"/>
          <w:shd w:val="clear" w:color="auto" w:fill="FFFFFF"/>
          <w:lang w:bidi="ar"/>
        </w:rPr>
        <w:t>妥善处理改革过程中出现的问题，加强改革</w:t>
      </w:r>
      <w:r>
        <w:rPr>
          <w:rFonts w:hint="eastAsia" w:eastAsia="仿宋_GB2312"/>
          <w:kern w:val="0"/>
          <w:sz w:val="32"/>
          <w:szCs w:val="32"/>
          <w:shd w:val="clear" w:color="auto" w:fill="FFFFFF"/>
          <w:lang w:bidi="ar"/>
        </w:rPr>
        <w:t>经验</w:t>
      </w:r>
      <w:r>
        <w:rPr>
          <w:rFonts w:eastAsia="仿宋_GB2312"/>
          <w:kern w:val="0"/>
          <w:sz w:val="32"/>
          <w:szCs w:val="32"/>
          <w:shd w:val="clear" w:color="auto" w:fill="FFFFFF"/>
          <w:lang w:bidi="ar"/>
        </w:rPr>
        <w:t>的总结提炼，形成可复制、可推广的经验做法，积极发挥示范引领作用，营造有利于改革的氛围</w:t>
      </w:r>
      <w:r>
        <w:rPr>
          <w:rFonts w:hint="eastAsia" w:eastAsia="仿宋_GB2312"/>
          <w:kern w:val="0"/>
          <w:sz w:val="32"/>
          <w:szCs w:val="32"/>
          <w:shd w:val="clear" w:color="auto" w:fill="FFFFFF"/>
          <w:lang w:bidi="ar"/>
        </w:rPr>
        <w:t>。通过此次三项制度改革，努力使那些忠诚企业、奋勇争先、冲锋实干、任劳任怨、业绩突出的职工成为最大收益者，鞭策效率低下、能力不足的职工积极进取，与企业发展同进步。</w:t>
      </w:r>
    </w:p>
    <w:p>
      <w:pPr>
        <w:pStyle w:val="6"/>
        <w:spacing w:line="640" w:lineRule="atLeast"/>
        <w:ind w:firstLine="640"/>
        <w:rPr>
          <w:rFonts w:hint="eastAsia" w:ascii="仿宋_GB2312" w:hAnsi="仿宋_GB2312" w:eastAsia="仿宋_GB2312" w:cs="仿宋_GB2312"/>
          <w:b w:val="0"/>
          <w:bCs/>
          <w:color w:val="00000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b w:val="0"/>
          <w:bCs/>
          <w:color w:val="00000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b w:val="0"/>
          <w:bCs/>
          <w:color w:val="00000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120" w:firstLineChars="1600"/>
        <w:jc w:val="both"/>
        <w:textAlignment w:val="auto"/>
        <w:outlineLvl w:val="9"/>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西北能化公司党委</w:t>
      </w:r>
      <w:r>
        <w:rPr>
          <w:rFonts w:hint="eastAsia" w:ascii="仿宋_GB2312" w:hAnsi="仿宋_GB2312" w:eastAsia="仿宋_GB2312" w:cs="仿宋_GB2312"/>
          <w:b w:val="0"/>
          <w:bCs/>
          <w:color w:val="000000"/>
          <w:sz w:val="32"/>
          <w:szCs w:val="32"/>
        </w:rPr>
        <w:t xml:space="preserve">                      </w:t>
      </w:r>
      <w:r>
        <w:rPr>
          <w:rFonts w:hint="eastAsia" w:ascii="仿宋_GB2312" w:hAnsi="仿宋_GB2312" w:eastAsia="仿宋_GB2312" w:cs="仿宋_GB2312"/>
          <w:b w:val="0"/>
          <w:bCs/>
          <w:color w:val="00000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120" w:firstLineChars="1600"/>
        <w:jc w:val="both"/>
        <w:textAlignment w:val="auto"/>
        <w:outlineLvl w:val="9"/>
        <w:rPr>
          <w:rFonts w:hint="eastAsia" w:ascii="仿宋_GB2312" w:hAnsi="宋体" w:eastAsia="仿宋_GB2312"/>
          <w:color w:val="000000"/>
          <w:sz w:val="32"/>
          <w:szCs w:val="32"/>
        </w:rPr>
      </w:pPr>
      <w:bookmarkStart w:id="1" w:name="_GoBack"/>
      <w:bookmarkEnd w:id="1"/>
      <w:r>
        <w:rPr>
          <w:rFonts w:hint="eastAsia" w:ascii="仿宋_GB2312" w:hAnsi="仿宋_GB2312" w:eastAsia="仿宋_GB2312" w:cs="仿宋_GB2312"/>
          <w:b w:val="0"/>
          <w:bCs/>
          <w:color w:val="000000"/>
          <w:sz w:val="32"/>
          <w:szCs w:val="32"/>
        </w:rPr>
        <w:t>20</w:t>
      </w:r>
      <w:r>
        <w:rPr>
          <w:rFonts w:hint="eastAsia" w:ascii="仿宋_GB2312" w:hAnsi="仿宋_GB2312" w:eastAsia="仿宋_GB2312" w:cs="仿宋_GB2312"/>
          <w:b w:val="0"/>
          <w:bCs/>
          <w:color w:val="000000"/>
          <w:sz w:val="32"/>
          <w:szCs w:val="32"/>
          <w:lang w:val="en-US" w:eastAsia="zh-CN"/>
        </w:rPr>
        <w:t>21</w:t>
      </w:r>
      <w:r>
        <w:rPr>
          <w:rFonts w:hint="eastAsia" w:ascii="仿宋_GB2312" w:hAnsi="仿宋_GB2312" w:eastAsia="仿宋_GB2312" w:cs="仿宋_GB2312"/>
          <w:b w:val="0"/>
          <w:bCs/>
          <w:color w:val="000000"/>
          <w:sz w:val="32"/>
          <w:szCs w:val="32"/>
        </w:rPr>
        <w:t>年</w:t>
      </w:r>
      <w:r>
        <w:rPr>
          <w:rFonts w:hint="eastAsia" w:ascii="仿宋_GB2312" w:hAnsi="仿宋_GB2312" w:eastAsia="仿宋_GB2312" w:cs="仿宋_GB2312"/>
          <w:b w:val="0"/>
          <w:bCs/>
          <w:color w:val="000000"/>
          <w:sz w:val="32"/>
          <w:szCs w:val="32"/>
          <w:lang w:val="en-US" w:eastAsia="zh-CN"/>
        </w:rPr>
        <w:t>1</w:t>
      </w:r>
      <w:r>
        <w:rPr>
          <w:rFonts w:hint="eastAsia" w:ascii="仿宋_GB2312" w:hAnsi="仿宋_GB2312" w:eastAsia="仿宋_GB2312" w:cs="仿宋_GB2312"/>
          <w:b w:val="0"/>
          <w:bCs/>
          <w:color w:val="000000"/>
          <w:sz w:val="32"/>
          <w:szCs w:val="32"/>
        </w:rPr>
        <w:t>月</w:t>
      </w:r>
      <w:r>
        <w:rPr>
          <w:rFonts w:hint="eastAsia" w:ascii="仿宋_GB2312" w:hAnsi="仿宋_GB2312" w:eastAsia="仿宋_GB2312" w:cs="仿宋_GB2312"/>
          <w:b w:val="0"/>
          <w:bCs/>
          <w:color w:val="000000"/>
          <w:sz w:val="32"/>
          <w:szCs w:val="32"/>
          <w:lang w:val="en-US" w:eastAsia="zh-CN"/>
        </w:rPr>
        <w:t>26</w:t>
      </w:r>
      <w:r>
        <w:rPr>
          <w:rFonts w:hint="eastAsia" w:ascii="仿宋_GB2312" w:hAnsi="仿宋_GB2312" w:eastAsia="仿宋_GB2312" w:cs="仿宋_GB2312"/>
          <w:b w:val="0"/>
          <w:bCs/>
          <w:color w:val="000000"/>
          <w:sz w:val="32"/>
          <w:szCs w:val="32"/>
        </w:rPr>
        <w:t>日</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b w:val="0"/>
          <w:bCs/>
          <w:color w:val="000000"/>
          <w:sz w:val="32"/>
          <w:szCs w:val="32"/>
          <w:lang w:eastAsia="zh-CN"/>
        </w:rPr>
      </w:pPr>
    </w:p>
    <w:p>
      <w:pPr>
        <w:keepNext w:val="0"/>
        <w:keepLines w:val="0"/>
        <w:pageBreakBefore w:val="0"/>
        <w:widowControl w:val="0"/>
        <w:tabs>
          <w:tab w:val="left" w:pos="3133"/>
        </w:tabs>
        <w:kinsoku/>
        <w:wordWrap/>
        <w:overflowPunct/>
        <w:topLinePunct w:val="0"/>
        <w:autoSpaceDE/>
        <w:autoSpaceDN/>
        <w:bidi w:val="0"/>
        <w:adjustRightInd/>
        <w:snapToGrid/>
        <w:spacing w:line="560" w:lineRule="exact"/>
        <w:jc w:val="left"/>
        <w:textAlignment w:val="auto"/>
        <w:rPr>
          <w:rFonts w:hint="eastAsia" w:ascii="仿宋_GB2312" w:hAnsi="宋体" w:eastAsia="仿宋_GB2312"/>
          <w:color w:val="000000"/>
          <w:kern w:val="2"/>
          <w:sz w:val="32"/>
          <w:szCs w:val="32"/>
          <w:lang w:val="en-US" w:eastAsia="zh-CN" w:bidi="ar-SA"/>
        </w:rPr>
      </w:pPr>
    </w:p>
    <w:p>
      <w:pPr>
        <w:keepNext w:val="0"/>
        <w:keepLines w:val="0"/>
        <w:pageBreakBefore w:val="0"/>
        <w:widowControl w:val="0"/>
        <w:tabs>
          <w:tab w:val="left" w:pos="3133"/>
        </w:tabs>
        <w:kinsoku/>
        <w:wordWrap/>
        <w:overflowPunct/>
        <w:topLinePunct w:val="0"/>
        <w:autoSpaceDE/>
        <w:autoSpaceDN/>
        <w:bidi w:val="0"/>
        <w:adjustRightInd/>
        <w:snapToGrid/>
        <w:spacing w:line="560" w:lineRule="exact"/>
        <w:jc w:val="left"/>
        <w:textAlignment w:val="auto"/>
        <w:rPr>
          <w:rFonts w:hint="eastAsia" w:ascii="仿宋_GB2312" w:hAnsi="宋体" w:eastAsia="仿宋_GB2312"/>
          <w:color w:val="000000"/>
          <w:kern w:val="2"/>
          <w:sz w:val="32"/>
          <w:szCs w:val="32"/>
          <w:lang w:val="en-US" w:eastAsia="zh-CN" w:bidi="ar-SA"/>
        </w:rPr>
      </w:pPr>
    </w:p>
    <w:p>
      <w:pPr>
        <w:keepNext w:val="0"/>
        <w:keepLines w:val="0"/>
        <w:pageBreakBefore w:val="0"/>
        <w:widowControl w:val="0"/>
        <w:tabs>
          <w:tab w:val="left" w:pos="3133"/>
        </w:tabs>
        <w:kinsoku/>
        <w:wordWrap/>
        <w:overflowPunct/>
        <w:topLinePunct w:val="0"/>
        <w:autoSpaceDE/>
        <w:autoSpaceDN/>
        <w:bidi w:val="0"/>
        <w:adjustRightInd/>
        <w:snapToGrid/>
        <w:spacing w:line="560" w:lineRule="exact"/>
        <w:jc w:val="left"/>
        <w:textAlignment w:val="auto"/>
        <w:rPr>
          <w:rFonts w:hint="eastAsia" w:ascii="仿宋_GB2312" w:hAnsi="宋体" w:eastAsia="仿宋_GB2312"/>
          <w:color w:val="000000"/>
          <w:kern w:val="2"/>
          <w:sz w:val="32"/>
          <w:szCs w:val="32"/>
          <w:lang w:val="en-US" w:eastAsia="zh-CN" w:bidi="ar-SA"/>
        </w:rPr>
      </w:pPr>
    </w:p>
    <w:p>
      <w:pPr>
        <w:keepNext w:val="0"/>
        <w:keepLines w:val="0"/>
        <w:pageBreakBefore w:val="0"/>
        <w:widowControl w:val="0"/>
        <w:tabs>
          <w:tab w:val="left" w:pos="3133"/>
        </w:tabs>
        <w:kinsoku/>
        <w:wordWrap/>
        <w:overflowPunct/>
        <w:topLinePunct w:val="0"/>
        <w:autoSpaceDE/>
        <w:autoSpaceDN/>
        <w:bidi w:val="0"/>
        <w:adjustRightInd/>
        <w:snapToGrid/>
        <w:spacing w:line="560" w:lineRule="exact"/>
        <w:jc w:val="left"/>
        <w:textAlignment w:val="auto"/>
        <w:rPr>
          <w:rFonts w:hint="eastAsia" w:ascii="仿宋_GB2312" w:hAnsi="宋体" w:eastAsia="仿宋_GB2312"/>
          <w:color w:val="000000"/>
          <w:kern w:val="2"/>
          <w:sz w:val="32"/>
          <w:szCs w:val="32"/>
          <w:lang w:val="en-US" w:eastAsia="zh-CN" w:bidi="ar-SA"/>
        </w:rPr>
      </w:pPr>
    </w:p>
    <w:p>
      <w:pPr>
        <w:keepNext w:val="0"/>
        <w:keepLines w:val="0"/>
        <w:pageBreakBefore w:val="0"/>
        <w:widowControl w:val="0"/>
        <w:tabs>
          <w:tab w:val="left" w:pos="3133"/>
        </w:tabs>
        <w:kinsoku/>
        <w:wordWrap/>
        <w:overflowPunct/>
        <w:topLinePunct w:val="0"/>
        <w:autoSpaceDE/>
        <w:autoSpaceDN/>
        <w:bidi w:val="0"/>
        <w:adjustRightInd/>
        <w:snapToGrid/>
        <w:spacing w:line="560" w:lineRule="exact"/>
        <w:jc w:val="left"/>
        <w:textAlignment w:val="auto"/>
        <w:rPr>
          <w:rFonts w:hint="eastAsia" w:ascii="仿宋_GB2312" w:hAnsi="宋体" w:eastAsia="仿宋_GB2312"/>
          <w:color w:val="000000"/>
          <w:kern w:val="2"/>
          <w:sz w:val="32"/>
          <w:szCs w:val="32"/>
          <w:lang w:val="en-US" w:eastAsia="zh-CN" w:bidi="ar-SA"/>
        </w:rPr>
      </w:pPr>
    </w:p>
    <w:p>
      <w:pPr>
        <w:keepNext w:val="0"/>
        <w:keepLines w:val="0"/>
        <w:pageBreakBefore w:val="0"/>
        <w:widowControl w:val="0"/>
        <w:tabs>
          <w:tab w:val="left" w:pos="3133"/>
        </w:tabs>
        <w:kinsoku/>
        <w:wordWrap/>
        <w:overflowPunct/>
        <w:topLinePunct w:val="0"/>
        <w:autoSpaceDE/>
        <w:autoSpaceDN/>
        <w:bidi w:val="0"/>
        <w:adjustRightInd/>
        <w:snapToGrid/>
        <w:spacing w:line="560" w:lineRule="exact"/>
        <w:jc w:val="left"/>
        <w:textAlignment w:val="auto"/>
        <w:rPr>
          <w:rFonts w:hint="eastAsia" w:ascii="仿宋_GB2312" w:hAnsi="宋体" w:eastAsia="仿宋_GB2312"/>
          <w:color w:val="000000"/>
          <w:kern w:val="2"/>
          <w:sz w:val="32"/>
          <w:szCs w:val="32"/>
          <w:lang w:val="en-US" w:eastAsia="zh-CN" w:bidi="ar-SA"/>
        </w:rPr>
      </w:pPr>
    </w:p>
    <w:p>
      <w:pPr>
        <w:keepNext w:val="0"/>
        <w:keepLines w:val="0"/>
        <w:pageBreakBefore w:val="0"/>
        <w:widowControl w:val="0"/>
        <w:tabs>
          <w:tab w:val="left" w:pos="3133"/>
        </w:tabs>
        <w:kinsoku/>
        <w:wordWrap/>
        <w:overflowPunct/>
        <w:topLinePunct w:val="0"/>
        <w:autoSpaceDE/>
        <w:autoSpaceDN/>
        <w:bidi w:val="0"/>
        <w:adjustRightInd/>
        <w:snapToGrid/>
        <w:spacing w:line="560" w:lineRule="exact"/>
        <w:jc w:val="left"/>
        <w:textAlignment w:val="auto"/>
        <w:rPr>
          <w:rFonts w:hint="eastAsia" w:ascii="仿宋_GB2312" w:hAnsi="宋体" w:eastAsia="仿宋_GB2312"/>
          <w:color w:val="000000"/>
          <w:kern w:val="2"/>
          <w:sz w:val="32"/>
          <w:szCs w:val="32"/>
          <w:lang w:val="en-US" w:eastAsia="zh-CN" w:bidi="ar-SA"/>
        </w:rPr>
      </w:pPr>
    </w:p>
    <w:p>
      <w:pPr>
        <w:keepNext w:val="0"/>
        <w:keepLines w:val="0"/>
        <w:pageBreakBefore w:val="0"/>
        <w:widowControl w:val="0"/>
        <w:tabs>
          <w:tab w:val="left" w:pos="3133"/>
        </w:tabs>
        <w:kinsoku/>
        <w:wordWrap/>
        <w:overflowPunct/>
        <w:topLinePunct w:val="0"/>
        <w:autoSpaceDE/>
        <w:autoSpaceDN/>
        <w:bidi w:val="0"/>
        <w:adjustRightInd/>
        <w:snapToGrid/>
        <w:spacing w:line="560" w:lineRule="exact"/>
        <w:jc w:val="left"/>
        <w:textAlignment w:val="auto"/>
        <w:rPr>
          <w:rFonts w:hint="eastAsia" w:ascii="仿宋_GB2312" w:hAnsi="宋体" w:eastAsia="仿宋_GB2312"/>
          <w:color w:val="000000"/>
          <w:kern w:val="2"/>
          <w:sz w:val="32"/>
          <w:szCs w:val="32"/>
          <w:lang w:val="en-US" w:eastAsia="zh-CN" w:bidi="ar-SA"/>
        </w:rPr>
      </w:pPr>
    </w:p>
    <w:p>
      <w:pPr>
        <w:keepNext w:val="0"/>
        <w:keepLines w:val="0"/>
        <w:pageBreakBefore w:val="0"/>
        <w:widowControl w:val="0"/>
        <w:tabs>
          <w:tab w:val="left" w:pos="3133"/>
        </w:tabs>
        <w:kinsoku/>
        <w:wordWrap/>
        <w:overflowPunct/>
        <w:topLinePunct w:val="0"/>
        <w:autoSpaceDE/>
        <w:autoSpaceDN/>
        <w:bidi w:val="0"/>
        <w:adjustRightInd/>
        <w:snapToGrid/>
        <w:spacing w:line="560" w:lineRule="exact"/>
        <w:jc w:val="left"/>
        <w:textAlignment w:val="auto"/>
        <w:rPr>
          <w:rFonts w:hint="eastAsia" w:ascii="仿宋_GB2312" w:hAnsi="宋体" w:eastAsia="仿宋_GB2312"/>
          <w:color w:val="000000"/>
          <w:kern w:val="2"/>
          <w:sz w:val="32"/>
          <w:szCs w:val="32"/>
          <w:lang w:val="en-US" w:eastAsia="zh-CN" w:bidi="ar-SA"/>
        </w:rPr>
      </w:pPr>
    </w:p>
    <w:p>
      <w:pPr>
        <w:keepNext w:val="0"/>
        <w:keepLines w:val="0"/>
        <w:pageBreakBefore w:val="0"/>
        <w:widowControl w:val="0"/>
        <w:tabs>
          <w:tab w:val="left" w:pos="3133"/>
        </w:tabs>
        <w:kinsoku/>
        <w:wordWrap/>
        <w:overflowPunct/>
        <w:topLinePunct w:val="0"/>
        <w:autoSpaceDE/>
        <w:autoSpaceDN/>
        <w:bidi w:val="0"/>
        <w:adjustRightInd/>
        <w:snapToGrid/>
        <w:spacing w:line="560" w:lineRule="exact"/>
        <w:jc w:val="left"/>
        <w:textAlignment w:val="auto"/>
        <w:rPr>
          <w:rFonts w:hint="eastAsia" w:ascii="仿宋_GB2312" w:hAnsi="宋体" w:eastAsia="仿宋_GB2312"/>
          <w:color w:val="000000"/>
          <w:kern w:val="2"/>
          <w:sz w:val="32"/>
          <w:szCs w:val="32"/>
          <w:lang w:val="en-US" w:eastAsia="zh-CN" w:bidi="ar-SA"/>
        </w:rPr>
      </w:pPr>
    </w:p>
    <w:p>
      <w:pPr>
        <w:keepNext w:val="0"/>
        <w:keepLines w:val="0"/>
        <w:pageBreakBefore w:val="0"/>
        <w:widowControl w:val="0"/>
        <w:tabs>
          <w:tab w:val="left" w:pos="3133"/>
        </w:tabs>
        <w:kinsoku/>
        <w:wordWrap/>
        <w:overflowPunct/>
        <w:topLinePunct w:val="0"/>
        <w:autoSpaceDE/>
        <w:autoSpaceDN/>
        <w:bidi w:val="0"/>
        <w:adjustRightInd/>
        <w:snapToGrid/>
        <w:spacing w:line="560" w:lineRule="exact"/>
        <w:jc w:val="left"/>
        <w:textAlignment w:val="auto"/>
        <w:rPr>
          <w:rFonts w:hint="eastAsia" w:ascii="仿宋_GB2312" w:hAnsi="宋体" w:eastAsia="仿宋_GB2312"/>
          <w:color w:val="000000"/>
          <w:kern w:val="2"/>
          <w:sz w:val="32"/>
          <w:szCs w:val="32"/>
          <w:lang w:val="en-US" w:eastAsia="zh-CN" w:bidi="ar-SA"/>
        </w:rPr>
      </w:pPr>
    </w:p>
    <w:p>
      <w:pPr>
        <w:keepNext w:val="0"/>
        <w:keepLines w:val="0"/>
        <w:pageBreakBefore w:val="0"/>
        <w:widowControl w:val="0"/>
        <w:tabs>
          <w:tab w:val="left" w:pos="3133"/>
        </w:tabs>
        <w:kinsoku/>
        <w:wordWrap/>
        <w:overflowPunct/>
        <w:topLinePunct w:val="0"/>
        <w:autoSpaceDE/>
        <w:autoSpaceDN/>
        <w:bidi w:val="0"/>
        <w:adjustRightInd/>
        <w:snapToGrid/>
        <w:spacing w:line="560" w:lineRule="exact"/>
        <w:jc w:val="left"/>
        <w:textAlignment w:val="auto"/>
        <w:rPr>
          <w:rFonts w:hint="eastAsia" w:ascii="仿宋_GB2312" w:hAnsi="宋体" w:eastAsia="仿宋_GB2312"/>
          <w:color w:val="000000"/>
          <w:kern w:val="2"/>
          <w:sz w:val="32"/>
          <w:szCs w:val="32"/>
          <w:lang w:val="en-US" w:eastAsia="zh-CN" w:bidi="ar-SA"/>
        </w:rPr>
      </w:pPr>
    </w:p>
    <w:p>
      <w:pPr>
        <w:keepNext w:val="0"/>
        <w:keepLines w:val="0"/>
        <w:pageBreakBefore w:val="0"/>
        <w:widowControl w:val="0"/>
        <w:tabs>
          <w:tab w:val="left" w:pos="3133"/>
        </w:tabs>
        <w:kinsoku/>
        <w:wordWrap/>
        <w:overflowPunct/>
        <w:topLinePunct w:val="0"/>
        <w:autoSpaceDE/>
        <w:autoSpaceDN/>
        <w:bidi w:val="0"/>
        <w:adjustRightInd/>
        <w:snapToGrid/>
        <w:spacing w:line="560" w:lineRule="exact"/>
        <w:jc w:val="left"/>
        <w:textAlignment w:val="auto"/>
        <w:rPr>
          <w:rFonts w:hint="eastAsia" w:ascii="仿宋_GB2312" w:hAnsi="宋体" w:eastAsia="仿宋_GB2312"/>
          <w:color w:val="000000"/>
          <w:kern w:val="2"/>
          <w:sz w:val="32"/>
          <w:szCs w:val="32"/>
          <w:lang w:val="en-US" w:eastAsia="zh-CN" w:bidi="ar-SA"/>
        </w:rPr>
      </w:pPr>
    </w:p>
    <w:p>
      <w:pPr>
        <w:keepNext w:val="0"/>
        <w:keepLines w:val="0"/>
        <w:pageBreakBefore w:val="0"/>
        <w:widowControl w:val="0"/>
        <w:tabs>
          <w:tab w:val="left" w:pos="3133"/>
        </w:tabs>
        <w:kinsoku/>
        <w:wordWrap/>
        <w:overflowPunct/>
        <w:topLinePunct w:val="0"/>
        <w:autoSpaceDE/>
        <w:autoSpaceDN/>
        <w:bidi w:val="0"/>
        <w:adjustRightInd/>
        <w:snapToGrid/>
        <w:spacing w:line="560" w:lineRule="exact"/>
        <w:jc w:val="left"/>
        <w:textAlignment w:val="auto"/>
        <w:rPr>
          <w:rFonts w:hint="eastAsia" w:ascii="仿宋_GB2312" w:hAnsi="宋体" w:eastAsia="仿宋_GB2312"/>
          <w:color w:val="000000"/>
          <w:kern w:val="2"/>
          <w:sz w:val="32"/>
          <w:szCs w:val="32"/>
          <w:lang w:val="en-US" w:eastAsia="zh-CN" w:bidi="ar-SA"/>
        </w:rPr>
      </w:pPr>
    </w:p>
    <w:p>
      <w:pPr>
        <w:keepNext w:val="0"/>
        <w:keepLines w:val="0"/>
        <w:pageBreakBefore w:val="0"/>
        <w:widowControl w:val="0"/>
        <w:tabs>
          <w:tab w:val="left" w:pos="3133"/>
        </w:tabs>
        <w:kinsoku/>
        <w:wordWrap/>
        <w:overflowPunct/>
        <w:topLinePunct w:val="0"/>
        <w:autoSpaceDE/>
        <w:autoSpaceDN/>
        <w:bidi w:val="0"/>
        <w:adjustRightInd/>
        <w:snapToGrid/>
        <w:spacing w:line="560" w:lineRule="exact"/>
        <w:jc w:val="left"/>
        <w:textAlignment w:val="auto"/>
        <w:rPr>
          <w:rFonts w:hint="eastAsia" w:ascii="仿宋_GB2312" w:hAnsi="宋体" w:eastAsia="仿宋_GB2312"/>
          <w:color w:val="000000"/>
          <w:kern w:val="2"/>
          <w:sz w:val="32"/>
          <w:szCs w:val="32"/>
          <w:lang w:val="en-US" w:eastAsia="zh-CN" w:bidi="ar-SA"/>
        </w:rPr>
      </w:pPr>
    </w:p>
    <w:p>
      <w:pPr>
        <w:keepNext w:val="0"/>
        <w:keepLines w:val="0"/>
        <w:pageBreakBefore w:val="0"/>
        <w:widowControl w:val="0"/>
        <w:tabs>
          <w:tab w:val="left" w:pos="3133"/>
        </w:tabs>
        <w:kinsoku/>
        <w:wordWrap/>
        <w:overflowPunct/>
        <w:topLinePunct w:val="0"/>
        <w:autoSpaceDE/>
        <w:autoSpaceDN/>
        <w:bidi w:val="0"/>
        <w:adjustRightInd/>
        <w:snapToGrid/>
        <w:spacing w:line="560" w:lineRule="exact"/>
        <w:jc w:val="left"/>
        <w:textAlignment w:val="auto"/>
        <w:rPr>
          <w:rFonts w:hint="eastAsia" w:ascii="仿宋_GB2312" w:hAnsi="宋体" w:eastAsia="仿宋_GB2312"/>
          <w:color w:val="000000"/>
          <w:kern w:val="2"/>
          <w:sz w:val="32"/>
          <w:szCs w:val="32"/>
          <w:lang w:val="en-US" w:eastAsia="zh-CN" w:bidi="ar-SA"/>
        </w:rPr>
      </w:pPr>
    </w:p>
    <w:p>
      <w:pPr>
        <w:keepNext w:val="0"/>
        <w:keepLines w:val="0"/>
        <w:pageBreakBefore w:val="0"/>
        <w:widowControl w:val="0"/>
        <w:tabs>
          <w:tab w:val="left" w:pos="3133"/>
        </w:tabs>
        <w:kinsoku/>
        <w:wordWrap/>
        <w:overflowPunct/>
        <w:topLinePunct w:val="0"/>
        <w:autoSpaceDE/>
        <w:autoSpaceDN/>
        <w:bidi w:val="0"/>
        <w:adjustRightInd/>
        <w:snapToGrid/>
        <w:spacing w:line="560" w:lineRule="exact"/>
        <w:jc w:val="left"/>
        <w:textAlignment w:val="auto"/>
        <w:rPr>
          <w:rFonts w:hint="eastAsia" w:ascii="仿宋_GB2312" w:hAnsi="宋体" w:eastAsia="仿宋_GB2312"/>
          <w:color w:val="000000"/>
          <w:kern w:val="2"/>
          <w:sz w:val="32"/>
          <w:szCs w:val="32"/>
          <w:lang w:val="en-US" w:eastAsia="zh-CN" w:bidi="ar-SA"/>
        </w:rPr>
      </w:pPr>
    </w:p>
    <w:p>
      <w:pPr>
        <w:keepNext w:val="0"/>
        <w:keepLines w:val="0"/>
        <w:pageBreakBefore w:val="0"/>
        <w:widowControl w:val="0"/>
        <w:tabs>
          <w:tab w:val="left" w:pos="3133"/>
        </w:tabs>
        <w:kinsoku/>
        <w:wordWrap/>
        <w:overflowPunct/>
        <w:topLinePunct w:val="0"/>
        <w:autoSpaceDE/>
        <w:autoSpaceDN/>
        <w:bidi w:val="0"/>
        <w:adjustRightInd/>
        <w:snapToGrid/>
        <w:spacing w:line="560" w:lineRule="exact"/>
        <w:jc w:val="left"/>
        <w:textAlignment w:val="auto"/>
        <w:rPr>
          <w:rFonts w:hint="eastAsia" w:ascii="仿宋_GB2312" w:hAnsi="宋体" w:eastAsia="仿宋_GB2312"/>
          <w:color w:val="000000"/>
          <w:kern w:val="2"/>
          <w:sz w:val="32"/>
          <w:szCs w:val="32"/>
          <w:lang w:val="en-US" w:eastAsia="zh-CN" w:bidi="ar-SA"/>
        </w:rPr>
      </w:pPr>
    </w:p>
    <w:p>
      <w:pPr>
        <w:keepNext w:val="0"/>
        <w:keepLines w:val="0"/>
        <w:pageBreakBefore w:val="0"/>
        <w:widowControl w:val="0"/>
        <w:tabs>
          <w:tab w:val="left" w:pos="3133"/>
        </w:tabs>
        <w:kinsoku/>
        <w:wordWrap/>
        <w:overflowPunct/>
        <w:topLinePunct w:val="0"/>
        <w:autoSpaceDE/>
        <w:autoSpaceDN/>
        <w:bidi w:val="0"/>
        <w:adjustRightInd/>
        <w:snapToGrid/>
        <w:spacing w:line="560" w:lineRule="exact"/>
        <w:jc w:val="left"/>
        <w:textAlignment w:val="auto"/>
        <w:rPr>
          <w:rFonts w:hint="eastAsia" w:ascii="仿宋_GB2312" w:hAnsi="宋体" w:eastAsia="仿宋_GB2312"/>
          <w:color w:val="000000"/>
          <w:kern w:val="2"/>
          <w:sz w:val="32"/>
          <w:szCs w:val="32"/>
          <w:lang w:val="en-US" w:eastAsia="zh-CN" w:bidi="ar-SA"/>
        </w:rPr>
      </w:pPr>
    </w:p>
    <w:p>
      <w:pPr>
        <w:keepNext w:val="0"/>
        <w:keepLines w:val="0"/>
        <w:pageBreakBefore w:val="0"/>
        <w:widowControl w:val="0"/>
        <w:tabs>
          <w:tab w:val="left" w:pos="3133"/>
        </w:tabs>
        <w:kinsoku/>
        <w:wordWrap/>
        <w:overflowPunct/>
        <w:topLinePunct w:val="0"/>
        <w:autoSpaceDE/>
        <w:autoSpaceDN/>
        <w:bidi w:val="0"/>
        <w:adjustRightInd/>
        <w:snapToGrid/>
        <w:spacing w:line="560" w:lineRule="exact"/>
        <w:jc w:val="left"/>
        <w:textAlignment w:val="auto"/>
        <w:rPr>
          <w:rFonts w:hint="eastAsia" w:ascii="仿宋_GB2312" w:hAnsi="宋体" w:eastAsia="仿宋_GB2312"/>
          <w:color w:val="000000"/>
          <w:kern w:val="2"/>
          <w:sz w:val="32"/>
          <w:szCs w:val="32"/>
          <w:lang w:val="en-US" w:eastAsia="zh-CN" w:bidi="ar-SA"/>
        </w:rPr>
      </w:pPr>
    </w:p>
    <w:p>
      <w:pPr>
        <w:keepNext w:val="0"/>
        <w:keepLines w:val="0"/>
        <w:pageBreakBefore w:val="0"/>
        <w:widowControl w:val="0"/>
        <w:tabs>
          <w:tab w:val="left" w:pos="3133"/>
        </w:tabs>
        <w:kinsoku/>
        <w:wordWrap/>
        <w:overflowPunct/>
        <w:topLinePunct w:val="0"/>
        <w:autoSpaceDE/>
        <w:autoSpaceDN/>
        <w:bidi w:val="0"/>
        <w:adjustRightInd/>
        <w:snapToGrid/>
        <w:spacing w:line="560" w:lineRule="exact"/>
        <w:jc w:val="left"/>
        <w:textAlignment w:val="auto"/>
        <w:rPr>
          <w:rFonts w:hint="eastAsia" w:ascii="仿宋_GB2312" w:hAnsi="宋体" w:eastAsia="仿宋_GB2312"/>
          <w:color w:val="000000"/>
          <w:kern w:val="2"/>
          <w:sz w:val="32"/>
          <w:szCs w:val="32"/>
          <w:lang w:val="en-US" w:eastAsia="zh-CN" w:bidi="ar-SA"/>
        </w:rPr>
      </w:pPr>
    </w:p>
    <w:p>
      <w:pPr>
        <w:keepNext w:val="0"/>
        <w:keepLines w:val="0"/>
        <w:pageBreakBefore w:val="0"/>
        <w:widowControl w:val="0"/>
        <w:tabs>
          <w:tab w:val="left" w:pos="3133"/>
        </w:tabs>
        <w:kinsoku/>
        <w:wordWrap/>
        <w:overflowPunct/>
        <w:topLinePunct w:val="0"/>
        <w:autoSpaceDE/>
        <w:autoSpaceDN/>
        <w:bidi w:val="0"/>
        <w:adjustRightInd/>
        <w:snapToGrid/>
        <w:spacing w:line="560" w:lineRule="exact"/>
        <w:jc w:val="left"/>
        <w:textAlignment w:val="auto"/>
        <w:rPr>
          <w:rFonts w:hint="eastAsia" w:ascii="仿宋_GB2312" w:hAnsi="宋体" w:eastAsia="仿宋_GB2312"/>
          <w:color w:val="000000"/>
          <w:kern w:val="2"/>
          <w:sz w:val="32"/>
          <w:szCs w:val="32"/>
          <w:lang w:val="en-US" w:eastAsia="zh-CN" w:bidi="ar-SA"/>
        </w:rPr>
      </w:pPr>
    </w:p>
    <w:p>
      <w:pPr>
        <w:keepNext w:val="0"/>
        <w:keepLines w:val="0"/>
        <w:pageBreakBefore w:val="0"/>
        <w:widowControl w:val="0"/>
        <w:tabs>
          <w:tab w:val="left" w:pos="3133"/>
        </w:tabs>
        <w:kinsoku/>
        <w:wordWrap/>
        <w:overflowPunct/>
        <w:topLinePunct w:val="0"/>
        <w:autoSpaceDE/>
        <w:autoSpaceDN/>
        <w:bidi w:val="0"/>
        <w:adjustRightInd/>
        <w:snapToGrid/>
        <w:spacing w:line="560" w:lineRule="exact"/>
        <w:jc w:val="left"/>
        <w:textAlignment w:val="auto"/>
        <w:rPr>
          <w:rFonts w:hint="eastAsia" w:ascii="仿宋_GB2312" w:hAnsi="宋体" w:eastAsia="仿宋_GB2312"/>
          <w:color w:val="000000"/>
          <w:kern w:val="2"/>
          <w:sz w:val="32"/>
          <w:szCs w:val="32"/>
          <w:lang w:val="en-US" w:eastAsia="zh-CN" w:bidi="ar-SA"/>
        </w:rPr>
      </w:pPr>
    </w:p>
    <w:p>
      <w:pPr>
        <w:keepNext w:val="0"/>
        <w:keepLines w:val="0"/>
        <w:pageBreakBefore w:val="0"/>
        <w:widowControl w:val="0"/>
        <w:tabs>
          <w:tab w:val="left" w:pos="3133"/>
        </w:tabs>
        <w:kinsoku/>
        <w:wordWrap/>
        <w:overflowPunct/>
        <w:topLinePunct w:val="0"/>
        <w:autoSpaceDE/>
        <w:autoSpaceDN/>
        <w:bidi w:val="0"/>
        <w:adjustRightInd/>
        <w:snapToGrid/>
        <w:spacing w:line="560" w:lineRule="exact"/>
        <w:jc w:val="left"/>
        <w:textAlignment w:val="auto"/>
        <w:rPr>
          <w:rFonts w:hint="eastAsia" w:ascii="仿宋_GB2312" w:hAnsi="宋体" w:eastAsia="仿宋_GB2312"/>
          <w:color w:val="000000"/>
          <w:kern w:val="2"/>
          <w:sz w:val="32"/>
          <w:szCs w:val="32"/>
          <w:lang w:val="en-US" w:eastAsia="zh-CN" w:bidi="ar-SA"/>
        </w:rPr>
      </w:pPr>
    </w:p>
    <w:p>
      <w:pPr>
        <w:keepNext w:val="0"/>
        <w:keepLines w:val="0"/>
        <w:pageBreakBefore w:val="0"/>
        <w:widowControl w:val="0"/>
        <w:tabs>
          <w:tab w:val="left" w:pos="3133"/>
        </w:tabs>
        <w:kinsoku/>
        <w:wordWrap/>
        <w:overflowPunct/>
        <w:topLinePunct w:val="0"/>
        <w:autoSpaceDE/>
        <w:autoSpaceDN/>
        <w:bidi w:val="0"/>
        <w:adjustRightInd/>
        <w:snapToGrid/>
        <w:spacing w:line="560" w:lineRule="exact"/>
        <w:jc w:val="left"/>
        <w:textAlignment w:val="auto"/>
        <w:rPr>
          <w:rFonts w:hint="eastAsia" w:ascii="仿宋_GB2312" w:hAnsi="宋体" w:eastAsia="仿宋_GB2312"/>
          <w:color w:val="000000"/>
          <w:kern w:val="2"/>
          <w:sz w:val="32"/>
          <w:szCs w:val="32"/>
          <w:lang w:val="en-US" w:eastAsia="zh-CN" w:bidi="ar-SA"/>
        </w:rPr>
      </w:pPr>
    </w:p>
    <w:p>
      <w:pPr>
        <w:keepNext w:val="0"/>
        <w:keepLines w:val="0"/>
        <w:pageBreakBefore w:val="0"/>
        <w:widowControl w:val="0"/>
        <w:tabs>
          <w:tab w:val="left" w:pos="3133"/>
        </w:tabs>
        <w:kinsoku/>
        <w:wordWrap/>
        <w:overflowPunct/>
        <w:topLinePunct w:val="0"/>
        <w:autoSpaceDE/>
        <w:autoSpaceDN/>
        <w:bidi w:val="0"/>
        <w:adjustRightInd/>
        <w:snapToGrid/>
        <w:spacing w:line="560" w:lineRule="exact"/>
        <w:jc w:val="left"/>
        <w:textAlignment w:val="auto"/>
        <w:rPr>
          <w:rFonts w:hint="eastAsia" w:ascii="仿宋_GB2312" w:hAnsi="宋体" w:eastAsia="仿宋_GB2312"/>
          <w:color w:val="000000"/>
          <w:kern w:val="2"/>
          <w:sz w:val="32"/>
          <w:szCs w:val="32"/>
          <w:lang w:val="en-US" w:eastAsia="zh-CN" w:bidi="ar-SA"/>
        </w:rPr>
      </w:pPr>
    </w:p>
    <w:p>
      <w:pPr>
        <w:keepNext w:val="0"/>
        <w:keepLines w:val="0"/>
        <w:pageBreakBefore w:val="0"/>
        <w:widowControl w:val="0"/>
        <w:tabs>
          <w:tab w:val="left" w:pos="3133"/>
        </w:tabs>
        <w:kinsoku/>
        <w:wordWrap/>
        <w:overflowPunct/>
        <w:topLinePunct w:val="0"/>
        <w:autoSpaceDE/>
        <w:autoSpaceDN/>
        <w:bidi w:val="0"/>
        <w:adjustRightInd/>
        <w:snapToGrid/>
        <w:spacing w:line="560" w:lineRule="exact"/>
        <w:jc w:val="left"/>
        <w:textAlignment w:val="auto"/>
        <w:rPr>
          <w:rFonts w:hint="eastAsia" w:ascii="仿宋_GB2312" w:hAnsi="宋体" w:eastAsia="仿宋_GB2312"/>
          <w:color w:val="000000"/>
          <w:kern w:val="2"/>
          <w:sz w:val="32"/>
          <w:szCs w:val="32"/>
          <w:lang w:val="en-US" w:eastAsia="zh-CN" w:bidi="ar-SA"/>
        </w:rPr>
      </w:pPr>
    </w:p>
    <w:p>
      <w:pPr>
        <w:keepNext w:val="0"/>
        <w:keepLines w:val="0"/>
        <w:pageBreakBefore w:val="0"/>
        <w:widowControl w:val="0"/>
        <w:tabs>
          <w:tab w:val="left" w:pos="3133"/>
        </w:tabs>
        <w:kinsoku/>
        <w:wordWrap/>
        <w:overflowPunct/>
        <w:topLinePunct w:val="0"/>
        <w:autoSpaceDE/>
        <w:autoSpaceDN/>
        <w:bidi w:val="0"/>
        <w:adjustRightInd/>
        <w:snapToGrid/>
        <w:spacing w:line="560" w:lineRule="exact"/>
        <w:jc w:val="left"/>
        <w:textAlignment w:val="auto"/>
        <w:rPr>
          <w:rFonts w:hint="eastAsia" w:ascii="仿宋_GB2312" w:hAnsi="宋体" w:eastAsia="仿宋_GB2312"/>
          <w:color w:val="000000"/>
          <w:kern w:val="2"/>
          <w:sz w:val="32"/>
          <w:szCs w:val="32"/>
          <w:lang w:val="en-US" w:eastAsia="zh-CN" w:bidi="ar-SA"/>
        </w:rPr>
      </w:pPr>
    </w:p>
    <w:p>
      <w:pPr>
        <w:keepNext w:val="0"/>
        <w:keepLines w:val="0"/>
        <w:pageBreakBefore w:val="0"/>
        <w:widowControl w:val="0"/>
        <w:tabs>
          <w:tab w:val="left" w:pos="3133"/>
        </w:tabs>
        <w:kinsoku/>
        <w:wordWrap/>
        <w:overflowPunct/>
        <w:topLinePunct w:val="0"/>
        <w:autoSpaceDE/>
        <w:autoSpaceDN/>
        <w:bidi w:val="0"/>
        <w:adjustRightInd/>
        <w:snapToGrid/>
        <w:spacing w:line="560" w:lineRule="exact"/>
        <w:jc w:val="left"/>
        <w:textAlignment w:val="auto"/>
        <w:rPr>
          <w:rFonts w:hint="eastAsia" w:ascii="仿宋_GB2312" w:hAnsi="宋体" w:eastAsia="仿宋_GB2312"/>
          <w:color w:val="000000"/>
          <w:kern w:val="2"/>
          <w:sz w:val="32"/>
          <w:szCs w:val="32"/>
          <w:lang w:val="en-US" w:eastAsia="zh-CN" w:bidi="ar-SA"/>
        </w:rPr>
      </w:pPr>
    </w:p>
    <w:p>
      <w:pPr>
        <w:keepNext w:val="0"/>
        <w:keepLines w:val="0"/>
        <w:pageBreakBefore w:val="0"/>
        <w:widowControl w:val="0"/>
        <w:tabs>
          <w:tab w:val="left" w:pos="3133"/>
        </w:tabs>
        <w:kinsoku/>
        <w:wordWrap/>
        <w:overflowPunct/>
        <w:topLinePunct w:val="0"/>
        <w:autoSpaceDE/>
        <w:autoSpaceDN/>
        <w:bidi w:val="0"/>
        <w:adjustRightInd/>
        <w:snapToGrid/>
        <w:spacing w:line="560" w:lineRule="exact"/>
        <w:jc w:val="left"/>
        <w:textAlignment w:val="auto"/>
        <w:rPr>
          <w:rFonts w:hint="eastAsia" w:ascii="仿宋_GB2312" w:hAnsi="宋体" w:eastAsia="仿宋_GB2312"/>
          <w:color w:val="000000"/>
          <w:kern w:val="2"/>
          <w:sz w:val="32"/>
          <w:szCs w:val="32"/>
          <w:lang w:val="en-US" w:eastAsia="zh-CN" w:bidi="ar-SA"/>
        </w:rPr>
      </w:pPr>
    </w:p>
    <w:p>
      <w:pPr>
        <w:keepNext w:val="0"/>
        <w:keepLines w:val="0"/>
        <w:pageBreakBefore w:val="0"/>
        <w:widowControl w:val="0"/>
        <w:pBdr>
          <w:top w:val="single" w:color="auto" w:sz="6" w:space="1"/>
          <w:bottom w:val="single" w:color="auto" w:sz="6" w:space="1"/>
        </w:pBdr>
        <w:kinsoku/>
        <w:wordWrap/>
        <w:overflowPunct/>
        <w:topLinePunct w:val="0"/>
        <w:autoSpaceDE/>
        <w:autoSpaceDN/>
        <w:bidi w:val="0"/>
        <w:adjustRightInd/>
        <w:snapToGrid/>
        <w:spacing w:line="560" w:lineRule="exact"/>
        <w:ind w:right="28"/>
        <w:jc w:val="left"/>
        <w:textAlignment w:val="auto"/>
        <w:rPr>
          <w:rFonts w:hint="eastAsia" w:ascii="仿宋_GB2312" w:hAnsi="仿宋_GB2312" w:eastAsia="仿宋_GB2312" w:cs="仿宋_GB2312"/>
          <w:b w:val="0"/>
          <w:bCs/>
          <w:color w:val="000000"/>
          <w:sz w:val="32"/>
          <w:szCs w:val="32"/>
          <w:lang w:eastAsia="zh-CN"/>
        </w:rPr>
        <w:sectPr>
          <w:footerReference r:id="rId4" w:type="default"/>
          <w:pgSz w:w="11906" w:h="16838"/>
          <w:pgMar w:top="1417" w:right="1474" w:bottom="1984" w:left="1587" w:header="851" w:footer="2381" w:gutter="0"/>
          <w:pgNumType w:fmt="numberInDash" w:start="2"/>
          <w:cols w:space="720" w:num="1"/>
          <w:rtlGutter w:val="0"/>
          <w:docGrid w:linePitch="312" w:charSpace="0"/>
        </w:sectPr>
      </w:pPr>
      <w:r>
        <w:rPr>
          <w:rFonts w:hint="eastAsia" w:ascii="仿宋_GB2312" w:hAnsi="宋体" w:eastAsia="仿宋_GB2312"/>
          <w:color w:val="auto"/>
          <w:sz w:val="28"/>
          <w:szCs w:val="28"/>
          <w:lang w:val="en-US" w:eastAsia="zh-CN"/>
        </w:rPr>
        <w:t xml:space="preserve"> </w:t>
      </w:r>
      <w:r>
        <w:rPr>
          <w:rFonts w:hint="eastAsia" w:ascii="仿宋_GB2312" w:hAnsi="宋体" w:eastAsia="仿宋_GB2312"/>
          <w:color w:val="auto"/>
          <w:sz w:val="28"/>
          <w:szCs w:val="28"/>
        </w:rPr>
        <w:t>西北能化公司</w:t>
      </w:r>
      <w:r>
        <w:rPr>
          <w:rFonts w:hint="eastAsia" w:ascii="仿宋_GB2312" w:hAnsi="仿宋" w:eastAsia="仿宋_GB2312"/>
          <w:snapToGrid w:val="0"/>
          <w:color w:val="auto"/>
          <w:sz w:val="28"/>
          <w:szCs w:val="28"/>
          <w:lang w:val="en-US" w:eastAsia="zh-CN"/>
        </w:rPr>
        <w:t>党群</w:t>
      </w:r>
      <w:r>
        <w:rPr>
          <w:rFonts w:hint="eastAsia" w:ascii="仿宋_GB2312" w:hAnsi="仿宋" w:eastAsia="仿宋_GB2312"/>
          <w:snapToGrid w:val="0"/>
          <w:color w:val="auto"/>
          <w:sz w:val="28"/>
          <w:szCs w:val="28"/>
        </w:rPr>
        <w:t xml:space="preserve">部                    </w:t>
      </w:r>
      <w:r>
        <w:rPr>
          <w:rFonts w:hint="eastAsia" w:ascii="仿宋_GB2312" w:hAnsi="仿宋" w:eastAsia="仿宋_GB2312"/>
          <w:snapToGrid w:val="0"/>
          <w:color w:val="auto"/>
          <w:sz w:val="28"/>
          <w:szCs w:val="28"/>
          <w:lang w:val="en-US" w:eastAsia="zh-CN"/>
        </w:rPr>
        <w:t xml:space="preserve">   </w:t>
      </w:r>
      <w:r>
        <w:rPr>
          <w:rFonts w:hint="eastAsia" w:ascii="仿宋_GB2312" w:hAnsi="仿宋" w:eastAsia="仿宋_GB2312"/>
          <w:snapToGrid w:val="0"/>
          <w:color w:val="auto"/>
          <w:sz w:val="28"/>
          <w:szCs w:val="28"/>
        </w:rPr>
        <w:t>20</w:t>
      </w:r>
      <w:r>
        <w:rPr>
          <w:rFonts w:hint="eastAsia" w:ascii="仿宋_GB2312" w:hAnsi="仿宋" w:eastAsia="仿宋_GB2312"/>
          <w:snapToGrid w:val="0"/>
          <w:color w:val="auto"/>
          <w:sz w:val="28"/>
          <w:szCs w:val="28"/>
          <w:lang w:val="en-US" w:eastAsia="zh-CN"/>
        </w:rPr>
        <w:t>21</w:t>
      </w:r>
      <w:r>
        <w:rPr>
          <w:rFonts w:hint="eastAsia" w:ascii="仿宋_GB2312" w:hAnsi="仿宋" w:eastAsia="仿宋_GB2312"/>
          <w:snapToGrid w:val="0"/>
          <w:color w:val="auto"/>
          <w:sz w:val="28"/>
          <w:szCs w:val="28"/>
        </w:rPr>
        <w:t>年</w:t>
      </w:r>
      <w:r>
        <w:rPr>
          <w:rFonts w:hint="eastAsia" w:ascii="仿宋_GB2312" w:hAnsi="仿宋" w:eastAsia="仿宋_GB2312"/>
          <w:snapToGrid w:val="0"/>
          <w:color w:val="auto"/>
          <w:sz w:val="28"/>
          <w:szCs w:val="28"/>
          <w:lang w:val="en-US" w:eastAsia="zh-CN"/>
        </w:rPr>
        <w:t>1</w:t>
      </w:r>
      <w:r>
        <w:rPr>
          <w:rFonts w:hint="eastAsia" w:ascii="仿宋_GB2312" w:hAnsi="仿宋" w:eastAsia="仿宋_GB2312"/>
          <w:snapToGrid w:val="0"/>
          <w:color w:val="auto"/>
          <w:sz w:val="28"/>
          <w:szCs w:val="28"/>
        </w:rPr>
        <w:t>月</w:t>
      </w:r>
      <w:r>
        <w:rPr>
          <w:rFonts w:hint="eastAsia" w:ascii="仿宋_GB2312" w:hAnsi="仿宋" w:eastAsia="仿宋_GB2312"/>
          <w:snapToGrid w:val="0"/>
          <w:color w:val="auto"/>
          <w:sz w:val="28"/>
          <w:szCs w:val="28"/>
          <w:lang w:val="en-US" w:eastAsia="zh-CN"/>
        </w:rPr>
        <w:t>26</w:t>
      </w:r>
      <w:r>
        <w:rPr>
          <w:rFonts w:hint="eastAsia" w:ascii="仿宋_GB2312" w:hAnsi="仿宋" w:eastAsia="仿宋_GB2312"/>
          <w:snapToGrid w:val="0"/>
          <w:color w:val="auto"/>
          <w:sz w:val="28"/>
          <w:szCs w:val="28"/>
        </w:rPr>
        <w:t>日印发</w:t>
      </w:r>
    </w:p>
    <w:p/>
    <w:p/>
    <w:sectPr>
      <w:footerReference r:id="rId5" w:type="default"/>
      <w:pgSz w:w="11906" w:h="16838"/>
      <w:pgMar w:top="1417" w:right="1474" w:bottom="1984" w:left="1587" w:header="851" w:footer="2381" w:gutter="0"/>
      <w:pgNumType w:fmt="numberInDash" w:start="1"/>
      <w:cols w:space="72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C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7769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- 2 -</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- 2 -</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1851E5"/>
    <w:rsid w:val="3BA81D84"/>
    <w:rsid w:val="731851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
    <w:name w:val="p0"/>
    <w:basedOn w:val="1"/>
    <w:uiPriority w:val="0"/>
    <w:pPr>
      <w:widowControl/>
    </w:pPr>
    <w:rPr>
      <w:rFonts w:ascii="Times New Roman" w:hAnsi="Times New Roman" w:eastAsia="宋体" w:cs="Times New Roman"/>
      <w:kern w:val="0"/>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2021-01-26T08:56:00Z</dcterms:created>
  <dc:creator>黑枣儿</dc:creator>
  <cp:lastModifiedBy>黑枣儿</cp:lastModifiedBy>
  <dcterms:modified xsi:type="dcterms:W3CDTF">2021-01-27T01:06:46Z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