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rPr>
          <w:rFonts w:hint="eastAsia" w:ascii="仿宋_GB2312" w:eastAsia="仿宋_GB2312"/>
          <w:sz w:val="28"/>
          <w:szCs w:val="28"/>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color w:val="000000"/>
          <w:szCs w:val="21"/>
        </w:rPr>
      </w:pPr>
    </w:p>
    <w:p>
      <w:pPr>
        <w:jc w:val="center"/>
        <w:rPr>
          <w:rFonts w:hint="eastAsia" w:ascii="仿宋_GB2312" w:eastAsia="仿宋_GB2312"/>
          <w:color w:val="000000"/>
          <w:szCs w:val="21"/>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西北能化</w:t>
      </w:r>
      <w:r>
        <w:rPr>
          <w:rFonts w:hint="eastAsia" w:ascii="仿宋_GB2312" w:hAnsi="仿宋" w:eastAsia="仿宋_GB2312" w:cs="仿宋"/>
          <w:sz w:val="32"/>
          <w:szCs w:val="32"/>
          <w:lang w:val="en-US" w:eastAsia="zh-CN"/>
        </w:rPr>
        <w:t>安</w:t>
      </w: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21</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21</w:t>
      </w:r>
      <w:r>
        <w:rPr>
          <w:rFonts w:hint="eastAsia" w:ascii="仿宋_GB2312" w:hAnsi="仿宋" w:eastAsia="仿宋_GB2312" w:cs="仿宋"/>
          <w:sz w:val="32"/>
          <w:szCs w:val="32"/>
        </w:rPr>
        <w:t>号</w:t>
      </w: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Cs w:val="21"/>
        </w:rPr>
      </w:pPr>
    </w:p>
    <w:p>
      <w:pPr>
        <w:jc w:val="center"/>
        <w:rPr>
          <w:rFonts w:hint="eastAsia" w:ascii="宋体" w:hAnsi="宋体"/>
          <w:b/>
          <w:color w:val="000000"/>
          <w:sz w:val="44"/>
          <w:szCs w:val="44"/>
        </w:rPr>
      </w:pPr>
    </w:p>
    <w:p>
      <w:pPr>
        <w:jc w:val="center"/>
        <w:rPr>
          <w:rFonts w:hint="eastAsia" w:ascii="方正小标宋简体" w:hAnsi="方正小标宋简体" w:eastAsia="方正小标宋简体" w:cs="方正小标宋简体"/>
          <w:b w:val="0"/>
          <w:bCs/>
          <w:color w:val="000000"/>
          <w:sz w:val="44"/>
          <w:szCs w:val="44"/>
          <w:lang w:val="en-US" w:eastAsia="zh-CN"/>
        </w:rPr>
      </w:pPr>
      <w:bookmarkStart w:id="6" w:name="_GoBack"/>
      <w:r>
        <w:rPr>
          <w:rFonts w:hint="eastAsia" w:ascii="方正小标宋简体" w:hAnsi="方正小标宋简体" w:eastAsia="方正小标宋简体" w:cs="方正小标宋简体"/>
          <w:b w:val="0"/>
          <w:bCs/>
          <w:color w:val="000000"/>
          <w:sz w:val="44"/>
          <w:szCs w:val="44"/>
          <w:lang w:eastAsia="zh-CN"/>
        </w:rPr>
        <w:t>西北能化公司</w:t>
      </w:r>
      <w:r>
        <w:rPr>
          <w:rFonts w:hint="eastAsia" w:ascii="方正小标宋简体" w:hAnsi="方正小标宋简体" w:eastAsia="方正小标宋简体" w:cs="方正小标宋简体"/>
          <w:b w:val="0"/>
          <w:bCs/>
          <w:color w:val="000000"/>
          <w:sz w:val="44"/>
          <w:szCs w:val="44"/>
          <w:lang w:val="en-US" w:eastAsia="zh-CN"/>
        </w:rPr>
        <w:t>2021年度安全风险分级管控</w:t>
      </w:r>
    </w:p>
    <w:p>
      <w:pPr>
        <w:jc w:val="center"/>
        <w:rPr>
          <w:rFonts w:hint="eastAsia" w:ascii="方正小标宋简体" w:hAnsi="方正小标宋简体" w:eastAsia="方正小标宋简体" w:cs="方正小标宋简体"/>
          <w:b w:val="0"/>
          <w:bCs/>
          <w:color w:val="000000"/>
          <w:sz w:val="44"/>
          <w:szCs w:val="44"/>
          <w:lang w:eastAsia="zh-CN"/>
        </w:rPr>
      </w:pPr>
      <w:r>
        <w:rPr>
          <w:rFonts w:hint="eastAsia" w:ascii="方正小标宋简体" w:hAnsi="方正小标宋简体" w:eastAsia="方正小标宋简体" w:cs="方正小标宋简体"/>
          <w:b w:val="0"/>
          <w:bCs/>
          <w:color w:val="000000"/>
          <w:sz w:val="44"/>
          <w:szCs w:val="44"/>
          <w:lang w:val="en-US" w:eastAsia="zh-CN"/>
        </w:rPr>
        <w:t>实施方案</w:t>
      </w:r>
      <w:bookmarkEnd w:id="6"/>
    </w:p>
    <w:p>
      <w:pPr>
        <w:jc w:val="center"/>
        <w:rPr>
          <w:rFonts w:hint="eastAsia" w:ascii="方正小标宋简体" w:hAnsi="方正小标宋简体" w:eastAsia="方正小标宋简体" w:cs="方正小标宋简体"/>
          <w:b w:val="0"/>
          <w:bCs/>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各单位：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eastAsia="zh-CN"/>
        </w:rPr>
        <w:t>为</w:t>
      </w:r>
      <w:r>
        <w:rPr>
          <w:rFonts w:hint="eastAsia" w:ascii="仿宋_GB2312" w:hAnsi="仿宋_GB2312" w:eastAsia="仿宋_GB2312" w:cs="仿宋_GB2312"/>
          <w:b w:val="0"/>
          <w:bCs/>
          <w:color w:val="000000"/>
          <w:sz w:val="32"/>
          <w:szCs w:val="32"/>
          <w:lang w:val="en-US" w:eastAsia="zh-CN"/>
        </w:rPr>
        <w:t>切实做好公司安全生产风险防控工作，进一步提升公司安全生产管理水平，建立安全生产管控长效机制，通过源头控制、综合研判、过程管控、监督考核等措施，提高风险管控能力，着力</w:t>
      </w:r>
      <w:r>
        <w:rPr>
          <w:rFonts w:hint="eastAsia" w:ascii="仿宋_GB2312" w:hAnsi="仿宋_GB2312" w:eastAsia="仿宋_GB2312" w:cs="仿宋_GB2312"/>
          <w:b w:val="0"/>
          <w:bCs/>
          <w:color w:val="000000"/>
          <w:sz w:val="32"/>
          <w:szCs w:val="32"/>
          <w:lang w:eastAsia="zh-CN"/>
        </w:rPr>
        <w:t>防范化解重大风险，</w:t>
      </w:r>
      <w:r>
        <w:rPr>
          <w:rFonts w:hint="eastAsia" w:ascii="仿宋_GB2312" w:hAnsi="仿宋_GB2312" w:eastAsia="仿宋_GB2312" w:cs="仿宋_GB2312"/>
          <w:b w:val="0"/>
          <w:bCs/>
          <w:color w:val="000000"/>
          <w:sz w:val="32"/>
          <w:szCs w:val="32"/>
          <w:lang w:val="en-US" w:eastAsia="zh-CN"/>
        </w:rPr>
        <w:t>根据各级政府、集团公司文件精神，结合公司实际，特制订本方案。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sectPr>
          <w:headerReference r:id="rId3" w:type="default"/>
          <w:pgSz w:w="11906" w:h="16838"/>
          <w:pgMar w:top="1417" w:right="1474" w:bottom="1984" w:left="1587" w:header="851" w:footer="2381" w:gutter="0"/>
          <w:pgNumType w:fmt="numberInDash" w:start="2"/>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坚持以习近平总书记重要指示为根本遵循，牢固树立安全发展理念，弘扬生命至上，安全第一的思想，坚守红线思维，以保安全，促发展为出发点，坚决防范化解安全生产过程中存在的风险，遏制重特大事故发生，全力推进公司安全有序发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二、管控原则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按照“谁主管、谁负责”，“分级控制”的原则，建立“分工明确、上下协同、专业配合、共同防御”的安全风险预警和控制体系，明确各级机构与各级人员的职责，建立安全风险预警和控制工作流程与节点标准，认真做好职责管理范围内安全风险预警和控制工作，根据安全风险类别及严重程度，落实预防和应急措施，化解和降低安全风险。重大风险坚持“关口前移、预防为主、全面辨识、过程管控、严格监督”的工作原则，上级负责管控的风险，下级应同时负责管控，逐级落实具体措施，加强重大风险全员、全过程、全方位管控和监督管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 xml:space="preserve">三、组织机构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成立四级风险评价、管控组织机构，分别为：公司级、部门级、车间级、班组级。</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（一）公司</w:t>
      </w:r>
      <w:r>
        <w:rPr>
          <w:rFonts w:hint="eastAsia" w:ascii="楷体_GB2312" w:hAnsi="楷体_GB2312" w:eastAsia="楷体_GB2312" w:cs="楷体_GB2312"/>
          <w:b w:val="0"/>
          <w:bCs/>
          <w:color w:val="000000"/>
          <w:sz w:val="32"/>
          <w:szCs w:val="32"/>
          <w:lang w:val="en-US" w:eastAsia="zh-CN"/>
        </w:rPr>
        <w:t>级</w:t>
      </w:r>
      <w:r>
        <w:rPr>
          <w:rFonts w:hint="eastAsia" w:ascii="楷体_GB2312" w:hAnsi="楷体_GB2312" w:eastAsia="楷体_GB2312" w:cs="楷体_GB2312"/>
          <w:b w:val="0"/>
          <w:bCs/>
          <w:color w:val="000000"/>
          <w:sz w:val="32"/>
          <w:szCs w:val="32"/>
          <w:lang w:eastAsia="zh-CN"/>
        </w:rPr>
        <w:t>风险</w:t>
      </w:r>
      <w:r>
        <w:rPr>
          <w:rFonts w:hint="eastAsia" w:ascii="楷体_GB2312" w:hAnsi="楷体_GB2312" w:eastAsia="楷体_GB2312" w:cs="楷体_GB2312"/>
          <w:b w:val="0"/>
          <w:bCs/>
          <w:color w:val="000000"/>
          <w:sz w:val="32"/>
          <w:szCs w:val="32"/>
          <w:lang w:val="en-US" w:eastAsia="zh-CN"/>
        </w:rPr>
        <w:t>评价、</w:t>
      </w:r>
      <w:r>
        <w:rPr>
          <w:rFonts w:hint="eastAsia" w:ascii="楷体_GB2312" w:hAnsi="楷体_GB2312" w:eastAsia="楷体_GB2312" w:cs="楷体_GB2312"/>
          <w:b w:val="0"/>
          <w:bCs/>
          <w:color w:val="000000"/>
          <w:sz w:val="32"/>
          <w:szCs w:val="32"/>
          <w:lang w:eastAsia="zh-CN"/>
        </w:rPr>
        <w:t>管控小组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组  长：任安全、</w:t>
      </w:r>
      <w:r>
        <w:rPr>
          <w:rFonts w:hint="eastAsia" w:ascii="仿宋_GB2312" w:hAnsi="仿宋_GB2312" w:eastAsia="仿宋_GB2312" w:cs="仿宋_GB2312"/>
          <w:b w:val="0"/>
          <w:bCs/>
          <w:color w:val="000000"/>
          <w:sz w:val="32"/>
          <w:szCs w:val="32"/>
          <w:lang w:val="en-US" w:eastAsia="zh-CN"/>
        </w:rPr>
        <w:t>李  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副组长：陈争峰、许令奇、郭</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勇、</w:t>
      </w:r>
      <w:r>
        <w:rPr>
          <w:rFonts w:hint="eastAsia" w:ascii="仿宋_GB2312" w:hAnsi="仿宋_GB2312" w:eastAsia="仿宋_GB2312" w:cs="仿宋_GB2312"/>
          <w:b w:val="0"/>
          <w:bCs/>
          <w:color w:val="000000"/>
          <w:sz w:val="32"/>
          <w:szCs w:val="32"/>
          <w:lang w:val="en-US" w:eastAsia="zh-CN"/>
        </w:rPr>
        <w:t>张荣江</w:t>
      </w:r>
      <w:r>
        <w:rPr>
          <w:rFonts w:hint="eastAsia" w:ascii="仿宋_GB2312" w:hAnsi="仿宋_GB2312" w:eastAsia="仿宋_GB2312" w:cs="仿宋_GB2312"/>
          <w:b w:val="0"/>
          <w:bCs/>
          <w:color w:val="000000"/>
          <w:sz w:val="32"/>
          <w:szCs w:val="32"/>
          <w:lang w:eastAsia="zh-CN"/>
        </w:rPr>
        <w:t>、陈</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迎</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成  员：各职能部门、车间负责人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领导小组下设办公室，办公室设在安全环保部，</w:t>
      </w:r>
      <w:r>
        <w:rPr>
          <w:rFonts w:hint="eastAsia" w:ascii="仿宋_GB2312" w:hAnsi="仿宋_GB2312" w:eastAsia="仿宋_GB2312" w:cs="仿宋_GB2312"/>
          <w:b w:val="0"/>
          <w:bCs/>
          <w:color w:val="000000"/>
          <w:sz w:val="32"/>
          <w:szCs w:val="32"/>
          <w:lang w:val="en-US" w:eastAsia="zh-CN"/>
        </w:rPr>
        <w:t>安全环保部部长</w:t>
      </w:r>
      <w:r>
        <w:rPr>
          <w:rFonts w:hint="eastAsia" w:ascii="仿宋_GB2312" w:hAnsi="仿宋_GB2312" w:eastAsia="仿宋_GB2312" w:cs="仿宋_GB2312"/>
          <w:b w:val="0"/>
          <w:bCs/>
          <w:color w:val="000000"/>
          <w:sz w:val="32"/>
          <w:szCs w:val="32"/>
          <w:lang w:eastAsia="zh-CN"/>
        </w:rPr>
        <w:t>陈迎兼任办公室主任。具体负责安全风险分级管控的管理工作。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（二）部门</w:t>
      </w:r>
      <w:r>
        <w:rPr>
          <w:rFonts w:hint="eastAsia" w:ascii="楷体_GB2312" w:hAnsi="楷体_GB2312" w:eastAsia="楷体_GB2312" w:cs="楷体_GB2312"/>
          <w:b w:val="0"/>
          <w:bCs/>
          <w:color w:val="000000"/>
          <w:sz w:val="32"/>
          <w:szCs w:val="32"/>
          <w:lang w:val="en-US" w:eastAsia="zh-CN"/>
        </w:rPr>
        <w:t>级</w:t>
      </w:r>
      <w:r>
        <w:rPr>
          <w:rFonts w:hint="eastAsia" w:ascii="楷体_GB2312" w:hAnsi="楷体_GB2312" w:eastAsia="楷体_GB2312" w:cs="楷体_GB2312"/>
          <w:b w:val="0"/>
          <w:bCs/>
          <w:color w:val="000000"/>
          <w:sz w:val="32"/>
          <w:szCs w:val="32"/>
          <w:lang w:eastAsia="zh-CN"/>
        </w:rPr>
        <w:t>风险评价、管控小组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组</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长：部</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副组长：副部长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eastAsia="zh-CN"/>
        </w:rPr>
        <w:t>成</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eastAsia="zh-CN"/>
        </w:rPr>
        <w:t>员：车间主任、副主任或者部门其他成员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（三）</w:t>
      </w:r>
      <w:r>
        <w:rPr>
          <w:rFonts w:hint="eastAsia" w:ascii="楷体_GB2312" w:hAnsi="楷体_GB2312" w:eastAsia="楷体_GB2312" w:cs="楷体_GB2312"/>
          <w:b w:val="0"/>
          <w:bCs/>
          <w:color w:val="000000"/>
          <w:sz w:val="32"/>
          <w:szCs w:val="32"/>
          <w:lang w:eastAsia="zh-CN"/>
        </w:rPr>
        <w:t>车间</w:t>
      </w:r>
      <w:r>
        <w:rPr>
          <w:rFonts w:hint="eastAsia" w:ascii="楷体_GB2312" w:hAnsi="楷体_GB2312" w:eastAsia="楷体_GB2312" w:cs="楷体_GB2312"/>
          <w:b w:val="0"/>
          <w:bCs/>
          <w:color w:val="000000"/>
          <w:sz w:val="32"/>
          <w:szCs w:val="32"/>
          <w:lang w:val="en-US" w:eastAsia="zh-CN"/>
        </w:rPr>
        <w:t>级</w:t>
      </w:r>
      <w:r>
        <w:rPr>
          <w:rFonts w:hint="eastAsia" w:ascii="楷体_GB2312" w:hAnsi="楷体_GB2312" w:eastAsia="楷体_GB2312" w:cs="楷体_GB2312"/>
          <w:b w:val="0"/>
          <w:bCs/>
          <w:color w:val="000000"/>
          <w:sz w:val="32"/>
          <w:szCs w:val="32"/>
          <w:lang w:eastAsia="zh-CN"/>
        </w:rPr>
        <w:t>风险评价、管控小组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组  长：车间主任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副组长：车间副主任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val="en-US" w:eastAsia="zh-CN"/>
        </w:rPr>
        <w:t>成  员：</w:t>
      </w:r>
      <w:r>
        <w:rPr>
          <w:rFonts w:hint="eastAsia" w:ascii="仿宋_GB2312" w:hAnsi="仿宋_GB2312" w:eastAsia="仿宋_GB2312" w:cs="仿宋_GB2312"/>
          <w:b w:val="0"/>
          <w:bCs/>
          <w:color w:val="000000"/>
          <w:sz w:val="32"/>
          <w:szCs w:val="32"/>
          <w:lang w:eastAsia="zh-CN"/>
        </w:rPr>
        <w:t>车间安全员、工艺技术员及</w:t>
      </w:r>
      <w:r>
        <w:rPr>
          <w:rFonts w:hint="eastAsia" w:ascii="仿宋_GB2312" w:hAnsi="仿宋_GB2312" w:eastAsia="仿宋_GB2312" w:cs="仿宋_GB2312"/>
          <w:b w:val="0"/>
          <w:bCs/>
          <w:color w:val="000000"/>
          <w:sz w:val="32"/>
          <w:szCs w:val="32"/>
          <w:lang w:val="en-US" w:eastAsia="zh-CN"/>
        </w:rPr>
        <w:t>班组班长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（四）班组级</w:t>
      </w:r>
      <w:r>
        <w:rPr>
          <w:rFonts w:hint="eastAsia" w:ascii="楷体_GB2312" w:hAnsi="楷体_GB2312" w:eastAsia="楷体_GB2312" w:cs="楷体_GB2312"/>
          <w:b w:val="0"/>
          <w:bCs/>
          <w:color w:val="000000"/>
          <w:sz w:val="32"/>
          <w:szCs w:val="32"/>
          <w:lang w:eastAsia="zh-CN"/>
        </w:rPr>
        <w:t>风险评价、管控小组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组  长：班组班长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副组长：班组主操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val="en-US" w:eastAsia="zh-CN"/>
        </w:rPr>
        <w:t>成  员：班组</w:t>
      </w:r>
      <w:r>
        <w:rPr>
          <w:rFonts w:hint="eastAsia" w:ascii="仿宋_GB2312" w:hAnsi="仿宋_GB2312" w:eastAsia="仿宋_GB2312" w:cs="仿宋_GB2312"/>
          <w:b w:val="0"/>
          <w:bCs/>
          <w:color w:val="000000"/>
          <w:sz w:val="32"/>
          <w:szCs w:val="32"/>
          <w:lang w:eastAsia="zh-CN"/>
        </w:rPr>
        <w:t>成员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四、管控小组职责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（一）公司级风险评价、管控小组职责：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1.依据国家安全生产方针、法律法规及各级政府、集团公司的要求和规定，制定安全风险分级管控工作体系、工作制度，明确风险辨识的范围、方法和安全风险辨识、评估、管控的工作流程。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2.督促检查、指导公司安全风险分级管控工作的实施执行情况。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3.负责对重大风险进行全面管控，组织实施重大风险的管控措施，定期对重大风险管控措施落实情况和管控效果进行检查分析，不断完善管控措施，保证重大风险在可控范围内。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4</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组织开展年度安全风险辨识评估，编制年度安全风险辨识评估报告，建立年度重大风险管控清单并对重大风险进行公示，制定管控措施，明确风险期、责任人等内容。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5.定期召开安全风险研判会议，分析研究安全风险管理体系的运转情况，解决存在的重大问题，确保安全风险防控体系处于受控状态和良性运转状态。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val="en-US" w:eastAsia="zh-CN"/>
        </w:rPr>
        <w:t>6</w:t>
      </w:r>
      <w:r>
        <w:rPr>
          <w:rFonts w:hint="eastAsia" w:ascii="仿宋_GB2312" w:hAnsi="仿宋_GB2312" w:eastAsia="仿宋_GB2312" w:cs="仿宋_GB2312"/>
          <w:b w:val="0"/>
          <w:bCs/>
          <w:color w:val="000000"/>
          <w:sz w:val="32"/>
          <w:szCs w:val="32"/>
          <w:lang w:eastAsia="zh-CN"/>
        </w:rPr>
        <w:t>.负责对各</w:t>
      </w:r>
      <w:r>
        <w:rPr>
          <w:rFonts w:hint="eastAsia" w:ascii="仿宋_GB2312" w:hAnsi="仿宋_GB2312" w:eastAsia="仿宋_GB2312" w:cs="仿宋_GB2312"/>
          <w:b w:val="0"/>
          <w:bCs/>
          <w:color w:val="000000"/>
          <w:sz w:val="32"/>
          <w:szCs w:val="32"/>
          <w:lang w:val="en-US" w:eastAsia="zh-CN"/>
        </w:rPr>
        <w:t>部门、车间风险评价、管控小组的风险管控工作开展情况监督考核</w:t>
      </w:r>
      <w:r>
        <w:rPr>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7.组织安全风险管理大检查，及时消除事故隐患，促进安全风险管理工作的不断深入，管理水平的不断提高。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（二）部门级风险评价、管控小组职责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1.根据管理职能负责指导、监督、推进分管业务范围内风险分级管控工作。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2.负责对较大风险进行全面管控，组织落实较大风险的管控措施，定期对重大、较大风险管控措施落实情况和管控效果进行检查分析，不断完善管控措施，保证较大风险在可控范围内。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3.督促检查、指导各车间安全风险分级管控工作的实施执行情况。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val="en-US" w:eastAsia="zh-CN"/>
        </w:rPr>
        <w:t>4.每周召开部门安全风险研判会议，对本部门月度安全风险管控重点实施情况进行一次检查分析，检查并改进、完善管控措施，对部门不可控风险上报</w:t>
      </w:r>
      <w:r>
        <w:rPr>
          <w:rFonts w:hint="eastAsia" w:ascii="仿宋_GB2312" w:hAnsi="仿宋_GB2312" w:eastAsia="仿宋_GB2312" w:cs="仿宋_GB2312"/>
          <w:b w:val="0"/>
          <w:bCs/>
          <w:color w:val="000000"/>
          <w:sz w:val="32"/>
          <w:szCs w:val="32"/>
          <w:lang w:eastAsia="zh-CN"/>
        </w:rPr>
        <w:t>公司</w:t>
      </w:r>
      <w:r>
        <w:rPr>
          <w:rFonts w:hint="eastAsia" w:ascii="仿宋_GB2312" w:hAnsi="仿宋_GB2312" w:eastAsia="仿宋_GB2312" w:cs="仿宋_GB2312"/>
          <w:b w:val="0"/>
          <w:bCs/>
          <w:color w:val="000000"/>
          <w:sz w:val="32"/>
          <w:szCs w:val="32"/>
          <w:lang w:val="en-US" w:eastAsia="zh-CN"/>
        </w:rPr>
        <w:t>级</w:t>
      </w:r>
      <w:r>
        <w:rPr>
          <w:rFonts w:hint="eastAsia" w:ascii="仿宋_GB2312" w:hAnsi="仿宋_GB2312" w:eastAsia="仿宋_GB2312" w:cs="仿宋_GB2312"/>
          <w:b w:val="0"/>
          <w:bCs/>
          <w:color w:val="000000"/>
          <w:sz w:val="32"/>
          <w:szCs w:val="32"/>
          <w:lang w:eastAsia="zh-CN"/>
        </w:rPr>
        <w:t>风险评价、管控小组。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val="en-US" w:eastAsia="zh-CN"/>
        </w:rPr>
        <w:t>5.</w:t>
      </w:r>
      <w:r>
        <w:rPr>
          <w:rFonts w:hint="eastAsia" w:ascii="仿宋_GB2312" w:hAnsi="仿宋_GB2312" w:eastAsia="仿宋_GB2312" w:cs="仿宋_GB2312"/>
          <w:b w:val="0"/>
          <w:bCs/>
          <w:color w:val="000000"/>
          <w:sz w:val="32"/>
          <w:szCs w:val="32"/>
          <w:lang w:eastAsia="zh-CN"/>
        </w:rPr>
        <w:t>负责对各</w:t>
      </w:r>
      <w:r>
        <w:rPr>
          <w:rFonts w:hint="eastAsia" w:ascii="仿宋_GB2312" w:hAnsi="仿宋_GB2312" w:eastAsia="仿宋_GB2312" w:cs="仿宋_GB2312"/>
          <w:b w:val="0"/>
          <w:bCs/>
          <w:color w:val="000000"/>
          <w:sz w:val="32"/>
          <w:szCs w:val="32"/>
          <w:lang w:val="en-US" w:eastAsia="zh-CN"/>
        </w:rPr>
        <w:t>车间风险评价、管控小组风险管控工作开展情况监督考核</w:t>
      </w:r>
      <w:r>
        <w:rPr>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6.组织安全风险管理大检查，及时消除事故隐患，促进安全风险管理工作的不断深入，管理水平的不断提高。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（三）车间级风险评价、管控小组职责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1.负责制定</w:t>
      </w:r>
      <w:r>
        <w:rPr>
          <w:rFonts w:hint="eastAsia" w:ascii="仿宋_GB2312" w:hAnsi="仿宋_GB2312" w:eastAsia="仿宋_GB2312" w:cs="仿宋_GB2312"/>
          <w:b w:val="0"/>
          <w:bCs/>
          <w:color w:val="000000"/>
          <w:sz w:val="32"/>
          <w:szCs w:val="32"/>
          <w:lang w:val="en-US" w:eastAsia="zh-CN"/>
        </w:rPr>
        <w:t>车间</w:t>
      </w:r>
      <w:r>
        <w:rPr>
          <w:rFonts w:hint="eastAsia" w:ascii="仿宋_GB2312" w:hAnsi="仿宋_GB2312" w:eastAsia="仿宋_GB2312" w:cs="仿宋_GB2312"/>
          <w:b w:val="0"/>
          <w:bCs/>
          <w:color w:val="000000"/>
          <w:sz w:val="32"/>
          <w:szCs w:val="32"/>
          <w:lang w:eastAsia="zh-CN"/>
        </w:rPr>
        <w:t>风险评价、</w:t>
      </w:r>
      <w:r>
        <w:rPr>
          <w:rFonts w:hint="eastAsia" w:ascii="仿宋_GB2312" w:hAnsi="仿宋_GB2312" w:eastAsia="仿宋_GB2312" w:cs="仿宋_GB2312"/>
          <w:b w:val="0"/>
          <w:bCs/>
          <w:color w:val="000000"/>
          <w:sz w:val="32"/>
          <w:szCs w:val="32"/>
          <w:lang w:val="en-US" w:eastAsia="zh-CN"/>
        </w:rPr>
        <w:t>培训</w:t>
      </w:r>
      <w:r>
        <w:rPr>
          <w:rFonts w:hint="eastAsia" w:ascii="仿宋_GB2312" w:hAnsi="仿宋_GB2312" w:eastAsia="仿宋_GB2312" w:cs="仿宋_GB2312"/>
          <w:b w:val="0"/>
          <w:bCs/>
          <w:color w:val="000000"/>
          <w:sz w:val="32"/>
          <w:szCs w:val="32"/>
          <w:lang w:eastAsia="zh-CN"/>
        </w:rPr>
        <w:t>计划，编制车间风险评估报告，</w:t>
      </w:r>
      <w:r>
        <w:rPr>
          <w:rFonts w:hint="eastAsia" w:ascii="仿宋_GB2312" w:hAnsi="仿宋_GB2312" w:eastAsia="仿宋_GB2312" w:cs="仿宋_GB2312"/>
          <w:b w:val="0"/>
          <w:bCs/>
          <w:color w:val="000000"/>
          <w:sz w:val="32"/>
          <w:szCs w:val="32"/>
          <w:lang w:val="en-US" w:eastAsia="zh-CN"/>
        </w:rPr>
        <w:t>组织开展</w:t>
      </w:r>
      <w:r>
        <w:rPr>
          <w:rFonts w:hint="eastAsia" w:ascii="仿宋_GB2312" w:hAnsi="仿宋_GB2312" w:eastAsia="仿宋_GB2312" w:cs="仿宋_GB2312"/>
          <w:b w:val="0"/>
          <w:bCs/>
          <w:color w:val="000000"/>
          <w:sz w:val="32"/>
          <w:szCs w:val="32"/>
          <w:lang w:eastAsia="zh-CN"/>
        </w:rPr>
        <w:t>风险分析方法的培训和运用，确保参与评价人员能掌握评价方法，可根据车间不同单元、工艺流程、设备设施等</w:t>
      </w:r>
      <w:r>
        <w:rPr>
          <w:rFonts w:hint="eastAsia" w:ascii="仿宋_GB2312" w:hAnsi="仿宋_GB2312" w:eastAsia="仿宋_GB2312" w:cs="仿宋_GB2312"/>
          <w:b w:val="0"/>
          <w:bCs/>
          <w:color w:val="000000"/>
          <w:sz w:val="32"/>
          <w:szCs w:val="32"/>
          <w:lang w:val="en-US" w:eastAsia="zh-CN"/>
        </w:rPr>
        <w:t>分工给班组级评价、管控小组</w:t>
      </w:r>
      <w:r>
        <w:rPr>
          <w:rFonts w:hint="eastAsia" w:ascii="仿宋_GB2312" w:hAnsi="仿宋_GB2312" w:eastAsia="仿宋_GB2312" w:cs="仿宋_GB2312"/>
          <w:b w:val="0"/>
          <w:bCs/>
          <w:color w:val="000000"/>
          <w:sz w:val="32"/>
          <w:szCs w:val="32"/>
          <w:lang w:eastAsia="zh-CN"/>
        </w:rPr>
        <w:t>开展</w:t>
      </w:r>
      <w:r>
        <w:rPr>
          <w:rFonts w:hint="eastAsia" w:ascii="仿宋_GB2312" w:hAnsi="仿宋_GB2312" w:eastAsia="仿宋_GB2312" w:cs="仿宋_GB2312"/>
          <w:b w:val="0"/>
          <w:bCs/>
          <w:color w:val="000000"/>
          <w:sz w:val="32"/>
          <w:szCs w:val="32"/>
          <w:lang w:val="en-US" w:eastAsia="zh-CN"/>
        </w:rPr>
        <w:t>风险分析和</w:t>
      </w:r>
      <w:r>
        <w:rPr>
          <w:rFonts w:hint="eastAsia" w:ascii="仿宋_GB2312" w:hAnsi="仿宋_GB2312" w:eastAsia="仿宋_GB2312" w:cs="仿宋_GB2312"/>
          <w:b w:val="0"/>
          <w:bCs/>
          <w:color w:val="000000"/>
          <w:sz w:val="32"/>
          <w:szCs w:val="32"/>
          <w:lang w:eastAsia="zh-CN"/>
        </w:rPr>
        <w:t>制定风险管控措施。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2.负责对本车间内所有风险进行全面管控，组织开展、落实本车间内的风险管控措施，定期对本车间风险管控措施落实情况和管控效果进行检查分析，不断完善管控措施，保证本车间风险在可控范围内。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val="en-US" w:eastAsia="zh-CN"/>
        </w:rPr>
        <w:t>3.每周召开车间安全风险研判会议，对本车间月度安全风险管控实施情况进行一次检查分析，检查并改进、完善管控措施，对车间不可控风险上报</w:t>
      </w:r>
      <w:r>
        <w:rPr>
          <w:rFonts w:hint="eastAsia" w:ascii="仿宋_GB2312" w:hAnsi="仿宋_GB2312" w:eastAsia="仿宋_GB2312" w:cs="仿宋_GB2312"/>
          <w:b w:val="0"/>
          <w:bCs/>
          <w:color w:val="000000"/>
          <w:sz w:val="32"/>
          <w:szCs w:val="32"/>
          <w:lang w:eastAsia="zh-CN"/>
        </w:rPr>
        <w:t>部门</w:t>
      </w:r>
      <w:r>
        <w:rPr>
          <w:rFonts w:hint="eastAsia" w:ascii="仿宋_GB2312" w:hAnsi="仿宋_GB2312" w:eastAsia="仿宋_GB2312" w:cs="仿宋_GB2312"/>
          <w:b w:val="0"/>
          <w:bCs/>
          <w:color w:val="000000"/>
          <w:sz w:val="32"/>
          <w:szCs w:val="32"/>
          <w:lang w:val="en-US" w:eastAsia="zh-CN"/>
        </w:rPr>
        <w:t>级</w:t>
      </w:r>
      <w:r>
        <w:rPr>
          <w:rFonts w:hint="eastAsia" w:ascii="仿宋_GB2312" w:hAnsi="仿宋_GB2312" w:eastAsia="仿宋_GB2312" w:cs="仿宋_GB2312"/>
          <w:b w:val="0"/>
          <w:bCs/>
          <w:color w:val="000000"/>
          <w:sz w:val="32"/>
          <w:szCs w:val="32"/>
          <w:lang w:eastAsia="zh-CN"/>
        </w:rPr>
        <w:t>风险评价、管控小组。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4.组织安全风险管理大检查，及时消除事故隐患，促进安全风险管理工作的不断深入，管理水平的不断提高。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5.负责职工岗位风险防控知识培训、考核及现场落实。对关键装置、重点部位、重大危险源、上班前的安全确认、职工岗位风险预控、工序转换以及班后评估情况监督管理。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（四）班组级风险评价、管控小组职责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eastAsia="zh-CN"/>
        </w:rPr>
        <w:t>1.</w:t>
      </w:r>
      <w:r>
        <w:rPr>
          <w:rFonts w:hint="eastAsia" w:ascii="仿宋_GB2312" w:hAnsi="仿宋_GB2312" w:eastAsia="仿宋_GB2312" w:cs="仿宋_GB2312"/>
          <w:b w:val="0"/>
          <w:bCs/>
          <w:color w:val="000000"/>
          <w:sz w:val="32"/>
          <w:szCs w:val="32"/>
          <w:lang w:val="en-US" w:eastAsia="zh-CN"/>
        </w:rPr>
        <w:t>参与制定车间风险评价、培训计划，组织开展</w:t>
      </w:r>
      <w:r>
        <w:rPr>
          <w:rFonts w:hint="eastAsia" w:ascii="仿宋_GB2312" w:hAnsi="仿宋_GB2312" w:eastAsia="仿宋_GB2312" w:cs="仿宋_GB2312"/>
          <w:b w:val="0"/>
          <w:bCs/>
          <w:color w:val="000000"/>
          <w:sz w:val="32"/>
          <w:szCs w:val="32"/>
          <w:lang w:eastAsia="zh-CN"/>
        </w:rPr>
        <w:t>风险分析方法、</w:t>
      </w:r>
      <w:r>
        <w:rPr>
          <w:rFonts w:hint="eastAsia" w:ascii="仿宋_GB2312" w:hAnsi="仿宋_GB2312" w:eastAsia="仿宋_GB2312" w:cs="仿宋_GB2312"/>
          <w:b w:val="0"/>
          <w:bCs/>
          <w:color w:val="000000"/>
          <w:sz w:val="32"/>
          <w:szCs w:val="32"/>
          <w:lang w:val="en-US" w:eastAsia="zh-CN"/>
        </w:rPr>
        <w:t>风险管控措施</w:t>
      </w:r>
      <w:r>
        <w:rPr>
          <w:rFonts w:hint="eastAsia" w:ascii="仿宋_GB2312" w:hAnsi="仿宋_GB2312" w:eastAsia="仿宋_GB2312" w:cs="仿宋_GB2312"/>
          <w:b w:val="0"/>
          <w:bCs/>
          <w:color w:val="000000"/>
          <w:sz w:val="32"/>
          <w:szCs w:val="32"/>
          <w:lang w:eastAsia="zh-CN"/>
        </w:rPr>
        <w:t>的培训，确保</w:t>
      </w:r>
      <w:r>
        <w:rPr>
          <w:rFonts w:hint="eastAsia" w:ascii="仿宋_GB2312" w:hAnsi="仿宋_GB2312" w:eastAsia="仿宋_GB2312" w:cs="仿宋_GB2312"/>
          <w:b w:val="0"/>
          <w:bCs/>
          <w:color w:val="000000"/>
          <w:sz w:val="32"/>
          <w:szCs w:val="32"/>
          <w:lang w:val="en-US" w:eastAsia="zh-CN"/>
        </w:rPr>
        <w:t>本班组</w:t>
      </w:r>
      <w:r>
        <w:rPr>
          <w:rFonts w:hint="eastAsia" w:ascii="仿宋_GB2312" w:hAnsi="仿宋_GB2312" w:eastAsia="仿宋_GB2312" w:cs="仿宋_GB2312"/>
          <w:b w:val="0"/>
          <w:bCs/>
          <w:color w:val="000000"/>
          <w:sz w:val="32"/>
          <w:szCs w:val="32"/>
          <w:lang w:eastAsia="zh-CN"/>
        </w:rPr>
        <w:t>人员能掌握评价方法</w:t>
      </w:r>
      <w:r>
        <w:rPr>
          <w:rFonts w:hint="eastAsia" w:ascii="仿宋_GB2312" w:hAnsi="仿宋_GB2312" w:eastAsia="仿宋_GB2312" w:cs="仿宋_GB2312"/>
          <w:b w:val="0"/>
          <w:bCs/>
          <w:color w:val="000000"/>
          <w:sz w:val="32"/>
          <w:szCs w:val="32"/>
          <w:lang w:val="en-US" w:eastAsia="zh-CN"/>
        </w:rPr>
        <w:t>和风险管控措施</w:t>
      </w:r>
      <w:r>
        <w:rPr>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组织开展本班组</w:t>
      </w:r>
      <w:r>
        <w:rPr>
          <w:rFonts w:hint="eastAsia" w:ascii="仿宋_GB2312" w:hAnsi="仿宋_GB2312" w:eastAsia="仿宋_GB2312" w:cs="仿宋_GB2312"/>
          <w:b w:val="0"/>
          <w:bCs/>
          <w:color w:val="000000"/>
          <w:sz w:val="32"/>
          <w:szCs w:val="32"/>
          <w:lang w:eastAsia="zh-CN"/>
        </w:rPr>
        <w:t>负责</w:t>
      </w:r>
      <w:r>
        <w:rPr>
          <w:rFonts w:hint="eastAsia" w:ascii="仿宋_GB2312" w:hAnsi="仿宋_GB2312" w:eastAsia="仿宋_GB2312" w:cs="仿宋_GB2312"/>
          <w:b w:val="0"/>
          <w:bCs/>
          <w:color w:val="000000"/>
          <w:sz w:val="32"/>
          <w:szCs w:val="32"/>
          <w:lang w:val="en-US" w:eastAsia="zh-CN"/>
        </w:rPr>
        <w:t>的风险分析，制定相应的管控措施，具体落实车间的风险管控措施。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3.负责本班组的生产操作，执行安全生产调度指令，严格遵守操作规程和工艺指标要求，按照工艺参数及时调整操作，确保安全生产。</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4.进行巡回检查，对风险管控措施落实情况和管控效果进行检查分析，查找发现装置运行存在的安全隐患，对班组不可控风险上报车间，不断完善管控措施，保证风险在可控范围内。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5.召开交接班会议，对当班期间安全生产情况进行汇报交接。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（五）风险管控办公室职责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val="en-US" w:eastAsia="zh-CN"/>
        </w:rPr>
        <w:t>1.负责</w:t>
      </w:r>
      <w:r>
        <w:rPr>
          <w:rFonts w:hint="eastAsia" w:ascii="仿宋_GB2312" w:hAnsi="仿宋_GB2312" w:eastAsia="仿宋_GB2312" w:cs="仿宋_GB2312"/>
          <w:b w:val="0"/>
          <w:bCs/>
          <w:color w:val="000000"/>
          <w:sz w:val="32"/>
          <w:szCs w:val="32"/>
          <w:lang w:eastAsia="zh-CN"/>
        </w:rPr>
        <w:t>安全风险分级管控管理</w:t>
      </w:r>
      <w:r>
        <w:rPr>
          <w:rFonts w:hint="eastAsia" w:ascii="仿宋_GB2312" w:hAnsi="仿宋_GB2312" w:eastAsia="仿宋_GB2312" w:cs="仿宋_GB2312"/>
          <w:b w:val="0"/>
          <w:bCs/>
          <w:color w:val="000000"/>
          <w:sz w:val="32"/>
          <w:szCs w:val="32"/>
          <w:lang w:val="en-US" w:eastAsia="zh-CN"/>
        </w:rPr>
        <w:t>的日常</w:t>
      </w:r>
      <w:r>
        <w:rPr>
          <w:rFonts w:hint="eastAsia" w:ascii="仿宋_GB2312" w:hAnsi="仿宋_GB2312" w:eastAsia="仿宋_GB2312" w:cs="仿宋_GB2312"/>
          <w:b w:val="0"/>
          <w:bCs/>
          <w:color w:val="000000"/>
          <w:sz w:val="32"/>
          <w:szCs w:val="32"/>
          <w:lang w:eastAsia="zh-CN"/>
        </w:rPr>
        <w:t>工作，</w:t>
      </w:r>
      <w:r>
        <w:rPr>
          <w:rFonts w:hint="eastAsia" w:ascii="仿宋_GB2312" w:hAnsi="仿宋_GB2312" w:eastAsia="仿宋_GB2312" w:cs="仿宋_GB2312"/>
          <w:b w:val="0"/>
          <w:bCs/>
          <w:color w:val="000000"/>
          <w:sz w:val="32"/>
          <w:szCs w:val="32"/>
          <w:lang w:val="en-US" w:eastAsia="zh-CN"/>
        </w:rPr>
        <w:t>编制公司年度风险评价报告，定期进行风险信息更新。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2.组织制定安全风险分级管控实施方案，明确辨识程序、评估方法、管控措施以及层级责任、考核奖惩等内容。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3.组织开展</w:t>
      </w:r>
      <w:r>
        <w:rPr>
          <w:rFonts w:hint="eastAsia" w:ascii="仿宋_GB2312" w:hAnsi="仿宋_GB2312" w:eastAsia="仿宋_GB2312" w:cs="仿宋_GB2312"/>
          <w:b w:val="0"/>
          <w:bCs/>
          <w:color w:val="000000"/>
          <w:sz w:val="32"/>
          <w:szCs w:val="32"/>
          <w:lang w:eastAsia="zh-CN"/>
        </w:rPr>
        <w:t>风险分析方法的培训和运用，</w:t>
      </w:r>
      <w:r>
        <w:rPr>
          <w:rFonts w:hint="eastAsia" w:ascii="仿宋_GB2312" w:hAnsi="仿宋_GB2312" w:eastAsia="仿宋_GB2312" w:cs="仿宋_GB2312"/>
          <w:b w:val="0"/>
          <w:bCs/>
          <w:color w:val="000000"/>
          <w:sz w:val="32"/>
          <w:szCs w:val="32"/>
          <w:lang w:val="en-US" w:eastAsia="zh-CN"/>
        </w:rPr>
        <w:t>指导、督促各单位开展安全风险分级管控工作。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4.组织相关人员对各单位安全风险分级管控实施情况进行检查、考核。</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5.承办上级部门和车间</w:t>
      </w:r>
      <w:r>
        <w:rPr>
          <w:rFonts w:hint="eastAsia" w:ascii="仿宋_GB2312" w:hAnsi="仿宋_GB2312" w:eastAsia="仿宋_GB2312" w:cs="仿宋_GB2312"/>
          <w:b w:val="0"/>
          <w:bCs/>
          <w:color w:val="000000"/>
          <w:sz w:val="32"/>
          <w:szCs w:val="32"/>
          <w:lang w:eastAsia="zh-CN"/>
        </w:rPr>
        <w:t>级</w:t>
      </w:r>
      <w:r>
        <w:rPr>
          <w:rFonts w:hint="eastAsia" w:ascii="仿宋_GB2312" w:hAnsi="仿宋_GB2312" w:eastAsia="仿宋_GB2312" w:cs="仿宋_GB2312"/>
          <w:b w:val="0"/>
          <w:bCs/>
          <w:color w:val="000000"/>
          <w:sz w:val="32"/>
          <w:szCs w:val="32"/>
          <w:lang w:val="en-US" w:eastAsia="zh-CN"/>
        </w:rPr>
        <w:t>风险评价、管控小组交办的其他工作。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五、重大风险管控职责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（一）主要负责人职责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公司执行董事和经理是重大风险管控工作的第一责任人，对重大风险管控工作全面负责。负责组织开展年度安全风险辨识评估，建立年度重大风险管控清单，制定管控措施，明确风险期限、责任人等内容；每月主持召开重大风险管控措施落实情况会议，对重大风险管控措施落实及效果进行总结分析，部署下月度重大安全风险管控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_GB2312" w:hAnsi="楷体_GB2312" w:eastAsia="楷体_GB2312" w:cs="楷体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（二）分管负责人职责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负责组织开展重大风险辨识查找，细化管控措施，严格落实，确保管控有效；根据月度生产计划和现场条件变化情况等，及时预控重大风险，补充完善管控措施，修订月度管控清单；每周开展重大风险分析研判和风险管控措施落实情况自查自改，分析现有管控措施，要针对性、有效性的补充完善管控措施，确保重大风险管控到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（三）分管安全负责人、安全环保部职责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val="en-US" w:eastAsia="zh-CN"/>
        </w:rPr>
        <w:t>负责重大风险管控责任落实的监督检查。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（四）生产技术部、设备部职责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根据管理职能负责指导、监督、推进分管业务范围内重大风险管控工作。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六、工作要求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 xml:space="preserve">1.公司主要负责人每月不定期抽查分管负责人对分管范围内重大风险掌握情况；分管负责人对分管单位及职能 部室人员掌握重大风险情况，每月抽查不少于 2 次。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公司主要负责人应掌握重大风险及主要管控措施，分管负责人、职能部门负责人及相关管理人员应掌握职责范围内重大风险及管控措施，车间负责人及相关管理人员、班组长、岗位员工应掌握并严格落实本工作区域内重大风险的管控措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val="en-US" w:eastAsia="zh-CN"/>
        </w:rPr>
        <w:t>3</w:t>
      </w:r>
      <w:r>
        <w:rPr>
          <w:rFonts w:hint="eastAsia" w:ascii="仿宋_GB2312" w:hAnsi="仿宋_GB2312" w:eastAsia="仿宋_GB2312" w:cs="仿宋_GB2312"/>
          <w:b w:val="0"/>
          <w:bCs/>
          <w:color w:val="000000"/>
          <w:sz w:val="32"/>
          <w:szCs w:val="32"/>
          <w:lang w:eastAsia="zh-CN"/>
        </w:rPr>
        <w:t>.各</w:t>
      </w:r>
      <w:r>
        <w:rPr>
          <w:rFonts w:hint="eastAsia" w:ascii="仿宋_GB2312" w:hAnsi="仿宋_GB2312" w:eastAsia="仿宋_GB2312" w:cs="仿宋_GB2312"/>
          <w:b w:val="0"/>
          <w:bCs/>
          <w:color w:val="000000"/>
          <w:sz w:val="32"/>
          <w:szCs w:val="32"/>
          <w:lang w:val="en-US" w:eastAsia="zh-CN"/>
        </w:rPr>
        <w:t>级风险评价、管控小组应按照风险分级管控作业指导书要求和公司《风险评价分级管理制度》，定期开展风险辨识、评估、分级工作</w:t>
      </w:r>
      <w:r>
        <w:rPr>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4.</w:t>
      </w:r>
      <w:r>
        <w:rPr>
          <w:rFonts w:hint="eastAsia" w:ascii="仿宋_GB2312" w:hAnsi="仿宋_GB2312" w:eastAsia="仿宋_GB2312" w:cs="仿宋_GB2312"/>
          <w:b w:val="0"/>
          <w:bCs/>
          <w:color w:val="000000"/>
          <w:sz w:val="32"/>
          <w:szCs w:val="32"/>
          <w:lang w:eastAsia="zh-CN"/>
        </w:rPr>
        <w:t>各</w:t>
      </w:r>
      <w:r>
        <w:rPr>
          <w:rFonts w:hint="eastAsia" w:ascii="仿宋_GB2312" w:hAnsi="仿宋_GB2312" w:eastAsia="仿宋_GB2312" w:cs="仿宋_GB2312"/>
          <w:b w:val="0"/>
          <w:bCs/>
          <w:color w:val="000000"/>
          <w:sz w:val="32"/>
          <w:szCs w:val="32"/>
          <w:lang w:val="en-US" w:eastAsia="zh-CN"/>
        </w:rPr>
        <w:t>单位</w:t>
      </w:r>
      <w:r>
        <w:rPr>
          <w:rFonts w:hint="eastAsia" w:ascii="仿宋_GB2312" w:hAnsi="仿宋_GB2312" w:eastAsia="仿宋_GB2312" w:cs="仿宋_GB2312"/>
          <w:b w:val="0"/>
          <w:bCs/>
          <w:color w:val="000000"/>
          <w:sz w:val="32"/>
          <w:szCs w:val="32"/>
          <w:lang w:eastAsia="zh-CN"/>
        </w:rPr>
        <w:t>负责人要高度重视，亲自负责，制定风险辨识、评价工作计划，</w:t>
      </w:r>
      <w:r>
        <w:rPr>
          <w:rFonts w:hint="eastAsia" w:ascii="仿宋_GB2312" w:hAnsi="仿宋_GB2312" w:eastAsia="仿宋_GB2312" w:cs="仿宋_GB2312"/>
          <w:b w:val="0"/>
          <w:bCs/>
          <w:color w:val="000000"/>
          <w:sz w:val="32"/>
          <w:szCs w:val="32"/>
          <w:lang w:val="en-US" w:eastAsia="zh-CN"/>
        </w:rPr>
        <w:t>每周开展一次风险研判会议，会议内容纸版存档，安全环保部定期抽查。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5.公司每月重大风险的管控措施落实情况进行分析研判，各部门、车间将本单位近期风险管控工作在安委会上进行汇报。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6.各单位</w:t>
      </w:r>
      <w:r>
        <w:rPr>
          <w:rFonts w:hint="eastAsia" w:ascii="仿宋_GB2312" w:hAnsi="仿宋_GB2312" w:eastAsia="仿宋_GB2312" w:cs="仿宋_GB2312"/>
          <w:b w:val="0"/>
          <w:bCs/>
          <w:color w:val="000000"/>
          <w:sz w:val="32"/>
          <w:szCs w:val="32"/>
          <w:lang w:eastAsia="zh-CN"/>
        </w:rPr>
        <w:t>每季度至少</w:t>
      </w:r>
      <w:r>
        <w:rPr>
          <w:rFonts w:hint="eastAsia" w:ascii="仿宋_GB2312" w:hAnsi="仿宋_GB2312" w:eastAsia="仿宋_GB2312" w:cs="仿宋_GB2312"/>
          <w:b w:val="0"/>
          <w:bCs/>
          <w:color w:val="000000"/>
          <w:sz w:val="32"/>
          <w:szCs w:val="32"/>
          <w:lang w:val="en-US" w:eastAsia="zh-CN"/>
        </w:rPr>
        <w:t>组织</w:t>
      </w:r>
      <w:r>
        <w:rPr>
          <w:rFonts w:hint="eastAsia" w:ascii="仿宋_GB2312" w:hAnsi="仿宋_GB2312" w:eastAsia="仿宋_GB2312" w:cs="仿宋_GB2312"/>
          <w:b w:val="0"/>
          <w:bCs/>
          <w:color w:val="000000"/>
          <w:sz w:val="32"/>
          <w:szCs w:val="32"/>
          <w:lang w:eastAsia="zh-CN"/>
        </w:rPr>
        <w:t>开展1次</w:t>
      </w:r>
      <w:r>
        <w:rPr>
          <w:rFonts w:hint="eastAsia" w:ascii="仿宋_GB2312" w:hAnsi="仿宋_GB2312" w:eastAsia="仿宋_GB2312" w:cs="仿宋_GB2312"/>
          <w:b w:val="0"/>
          <w:bCs/>
          <w:color w:val="000000"/>
          <w:sz w:val="32"/>
          <w:szCs w:val="32"/>
          <w:lang w:val="en-US" w:eastAsia="zh-CN"/>
        </w:rPr>
        <w:t>全系统的</w:t>
      </w:r>
      <w:r>
        <w:rPr>
          <w:rFonts w:hint="eastAsia" w:ascii="仿宋_GB2312" w:hAnsi="仿宋_GB2312" w:eastAsia="仿宋_GB2312" w:cs="仿宋_GB2312"/>
          <w:b w:val="0"/>
          <w:bCs/>
          <w:color w:val="000000"/>
          <w:sz w:val="32"/>
          <w:szCs w:val="32"/>
          <w:lang w:eastAsia="zh-CN"/>
        </w:rPr>
        <w:t>安全风险评估和危害辨识活动，分析结果每季度最后一个月</w:t>
      </w:r>
      <w:r>
        <w:rPr>
          <w:rFonts w:hint="eastAsia" w:ascii="仿宋_GB2312" w:hAnsi="仿宋_GB2312" w:eastAsia="仿宋_GB2312" w:cs="仿宋_GB2312"/>
          <w:b w:val="0"/>
          <w:bCs/>
          <w:color w:val="000000"/>
          <w:sz w:val="32"/>
          <w:szCs w:val="32"/>
          <w:lang w:val="en-US" w:eastAsia="zh-CN"/>
        </w:rPr>
        <w:t>25日前报安全环保部</w:t>
      </w:r>
      <w:r>
        <w:rPr>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val="en-US" w:eastAsia="zh-CN"/>
        </w:rPr>
        <w:t>7.各车间</w:t>
      </w:r>
      <w:r>
        <w:rPr>
          <w:rFonts w:hint="eastAsia" w:ascii="仿宋_GB2312" w:hAnsi="仿宋_GB2312" w:eastAsia="仿宋_GB2312" w:cs="仿宋_GB2312"/>
          <w:b w:val="0"/>
          <w:bCs/>
          <w:color w:val="000000"/>
          <w:sz w:val="32"/>
          <w:szCs w:val="32"/>
          <w:lang w:eastAsia="zh-CN"/>
        </w:rPr>
        <w:t>辨识出的</w:t>
      </w:r>
      <w:r>
        <w:rPr>
          <w:rFonts w:hint="eastAsia" w:ascii="仿宋_GB2312" w:hAnsi="仿宋_GB2312" w:eastAsia="仿宋_GB2312" w:cs="仿宋_GB2312"/>
          <w:b w:val="0"/>
          <w:bCs/>
          <w:color w:val="000000"/>
          <w:sz w:val="32"/>
          <w:szCs w:val="32"/>
          <w:lang w:val="en-US" w:eastAsia="zh-CN"/>
        </w:rPr>
        <w:t>较大</w:t>
      </w:r>
      <w:r>
        <w:rPr>
          <w:rFonts w:hint="eastAsia" w:ascii="仿宋_GB2312" w:hAnsi="仿宋_GB2312" w:eastAsia="仿宋_GB2312" w:cs="仿宋_GB2312"/>
          <w:b w:val="0"/>
          <w:bCs/>
          <w:color w:val="000000"/>
          <w:sz w:val="32"/>
          <w:szCs w:val="32"/>
          <w:lang w:eastAsia="zh-CN"/>
        </w:rPr>
        <w:t>风险报送</w:t>
      </w:r>
      <w:r>
        <w:rPr>
          <w:rFonts w:hint="eastAsia" w:ascii="仿宋_GB2312" w:hAnsi="仿宋_GB2312" w:eastAsia="仿宋_GB2312" w:cs="仿宋_GB2312"/>
          <w:b w:val="0"/>
          <w:bCs/>
          <w:color w:val="000000"/>
          <w:sz w:val="32"/>
          <w:szCs w:val="32"/>
          <w:lang w:val="en-US" w:eastAsia="zh-CN"/>
        </w:rPr>
        <w:t>至部门级风险评价、管控小组和</w:t>
      </w:r>
      <w:r>
        <w:rPr>
          <w:rFonts w:hint="eastAsia" w:ascii="仿宋_GB2312" w:hAnsi="仿宋_GB2312" w:eastAsia="仿宋_GB2312" w:cs="仿宋_GB2312"/>
          <w:b w:val="0"/>
          <w:bCs/>
          <w:color w:val="000000"/>
          <w:sz w:val="32"/>
          <w:szCs w:val="32"/>
          <w:lang w:eastAsia="zh-CN"/>
        </w:rPr>
        <w:t>安全环保部，由</w:t>
      </w:r>
      <w:r>
        <w:rPr>
          <w:rFonts w:hint="eastAsia" w:ascii="仿宋_GB2312" w:hAnsi="仿宋_GB2312" w:eastAsia="仿宋_GB2312" w:cs="仿宋_GB2312"/>
          <w:b w:val="0"/>
          <w:bCs/>
          <w:color w:val="000000"/>
          <w:sz w:val="32"/>
          <w:szCs w:val="32"/>
          <w:lang w:val="en-US" w:eastAsia="zh-CN"/>
        </w:rPr>
        <w:t>部门级</w:t>
      </w:r>
      <w:r>
        <w:rPr>
          <w:rFonts w:hint="eastAsia" w:ascii="仿宋_GB2312" w:hAnsi="仿宋_GB2312" w:eastAsia="仿宋_GB2312" w:cs="仿宋_GB2312"/>
          <w:b w:val="0"/>
          <w:bCs/>
          <w:color w:val="000000"/>
          <w:sz w:val="32"/>
          <w:szCs w:val="32"/>
          <w:lang w:eastAsia="zh-CN"/>
        </w:rPr>
        <w:t>风险评价、</w:t>
      </w:r>
      <w:r>
        <w:rPr>
          <w:rFonts w:hint="eastAsia" w:ascii="仿宋_GB2312" w:hAnsi="仿宋_GB2312" w:eastAsia="仿宋_GB2312" w:cs="仿宋_GB2312"/>
          <w:b w:val="0"/>
          <w:bCs/>
          <w:color w:val="000000"/>
          <w:sz w:val="32"/>
          <w:szCs w:val="32"/>
          <w:lang w:val="en-US" w:eastAsia="zh-CN"/>
        </w:rPr>
        <w:t>管控</w:t>
      </w:r>
      <w:r>
        <w:rPr>
          <w:rFonts w:hint="eastAsia" w:ascii="仿宋_GB2312" w:hAnsi="仿宋_GB2312" w:eastAsia="仿宋_GB2312" w:cs="仿宋_GB2312"/>
          <w:b w:val="0"/>
          <w:bCs/>
          <w:color w:val="000000"/>
          <w:sz w:val="32"/>
          <w:szCs w:val="32"/>
          <w:lang w:eastAsia="zh-CN"/>
        </w:rPr>
        <w:t>小组组织重新进行风险辨识，责任车间要制定控制措施和改进计划，构成较大风险的隐患必须</w:t>
      </w:r>
      <w:r>
        <w:rPr>
          <w:rFonts w:hint="eastAsia" w:ascii="仿宋_GB2312" w:hAnsi="仿宋_GB2312" w:eastAsia="仿宋_GB2312" w:cs="仿宋_GB2312"/>
          <w:b w:val="0"/>
          <w:bCs/>
          <w:color w:val="000000"/>
          <w:sz w:val="32"/>
          <w:szCs w:val="32"/>
          <w:lang w:val="en-US" w:eastAsia="zh-CN"/>
        </w:rPr>
        <w:t>立即整改或一个季度</w:t>
      </w:r>
      <w:r>
        <w:rPr>
          <w:rFonts w:hint="eastAsia" w:ascii="仿宋_GB2312" w:hAnsi="仿宋_GB2312" w:eastAsia="仿宋_GB2312" w:cs="仿宋_GB2312"/>
          <w:b w:val="0"/>
          <w:bCs/>
          <w:color w:val="000000"/>
          <w:sz w:val="32"/>
          <w:szCs w:val="32"/>
          <w:lang w:eastAsia="zh-CN"/>
        </w:rPr>
        <w:t>内完成整改。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val="en-US" w:eastAsia="zh-CN"/>
        </w:rPr>
        <w:t>8</w:t>
      </w: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各单位</w:t>
      </w:r>
      <w:r>
        <w:rPr>
          <w:rFonts w:hint="eastAsia" w:ascii="仿宋_GB2312" w:hAnsi="仿宋_GB2312" w:eastAsia="仿宋_GB2312" w:cs="仿宋_GB2312"/>
          <w:b w:val="0"/>
          <w:bCs/>
          <w:color w:val="000000"/>
          <w:sz w:val="32"/>
          <w:szCs w:val="32"/>
          <w:lang w:eastAsia="zh-CN"/>
        </w:rPr>
        <w:t>辨识出的重大风险，要先采取紧急管控措施降低风险，并上报</w:t>
      </w:r>
      <w:r>
        <w:rPr>
          <w:rFonts w:hint="eastAsia" w:ascii="仿宋_GB2312" w:hAnsi="仿宋_GB2312" w:eastAsia="仿宋_GB2312" w:cs="仿宋_GB2312"/>
          <w:b w:val="0"/>
          <w:bCs/>
          <w:color w:val="000000"/>
          <w:sz w:val="32"/>
          <w:szCs w:val="32"/>
          <w:lang w:val="en-US" w:eastAsia="zh-CN"/>
        </w:rPr>
        <w:t>公司</w:t>
      </w:r>
      <w:r>
        <w:rPr>
          <w:rFonts w:hint="eastAsia" w:ascii="仿宋_GB2312" w:hAnsi="仿宋_GB2312" w:eastAsia="仿宋_GB2312" w:cs="仿宋_GB2312"/>
          <w:b w:val="0"/>
          <w:bCs/>
          <w:color w:val="000000"/>
          <w:sz w:val="32"/>
          <w:szCs w:val="32"/>
          <w:lang w:eastAsia="zh-CN"/>
        </w:rPr>
        <w:t>级</w:t>
      </w:r>
      <w:r>
        <w:rPr>
          <w:rFonts w:hint="eastAsia" w:ascii="仿宋_GB2312" w:hAnsi="仿宋_GB2312" w:eastAsia="仿宋_GB2312" w:cs="仿宋_GB2312"/>
          <w:b w:val="0"/>
          <w:bCs/>
          <w:color w:val="000000"/>
          <w:sz w:val="32"/>
          <w:szCs w:val="32"/>
          <w:lang w:val="en-US" w:eastAsia="zh-CN"/>
        </w:rPr>
        <w:t>风险评价、管控小组</w:t>
      </w:r>
      <w:r>
        <w:rPr>
          <w:rFonts w:hint="eastAsia" w:ascii="仿宋_GB2312" w:hAnsi="仿宋_GB2312" w:eastAsia="仿宋_GB2312" w:cs="仿宋_GB2312"/>
          <w:b w:val="0"/>
          <w:bCs/>
          <w:color w:val="000000"/>
          <w:sz w:val="32"/>
          <w:szCs w:val="32"/>
          <w:lang w:eastAsia="zh-CN"/>
        </w:rPr>
        <w:t>，制定安全控制措施，建立运行控制程序，定期检查、测量及评估，确保将重大风险降低为一般风险或低风险等级，若经采取控制措施后仍然构成重大风险，则经公司</w:t>
      </w:r>
      <w:r>
        <w:rPr>
          <w:rFonts w:hint="eastAsia" w:ascii="仿宋_GB2312" w:hAnsi="仿宋_GB2312" w:eastAsia="仿宋_GB2312" w:cs="仿宋_GB2312"/>
          <w:b w:val="0"/>
          <w:bCs/>
          <w:color w:val="000000"/>
          <w:sz w:val="32"/>
          <w:szCs w:val="32"/>
          <w:lang w:val="en-US" w:eastAsia="zh-CN"/>
        </w:rPr>
        <w:t>级</w:t>
      </w:r>
      <w:r>
        <w:rPr>
          <w:rFonts w:hint="eastAsia" w:ascii="仿宋_GB2312" w:hAnsi="仿宋_GB2312" w:eastAsia="仿宋_GB2312" w:cs="仿宋_GB2312"/>
          <w:b w:val="0"/>
          <w:bCs/>
          <w:color w:val="000000"/>
          <w:sz w:val="32"/>
          <w:szCs w:val="32"/>
          <w:lang w:eastAsia="zh-CN"/>
        </w:rPr>
        <w:t>风险评价、管控小组</w:t>
      </w:r>
      <w:r>
        <w:rPr>
          <w:rFonts w:hint="eastAsia" w:ascii="仿宋_GB2312" w:hAnsi="仿宋_GB2312" w:eastAsia="仿宋_GB2312" w:cs="仿宋_GB2312"/>
          <w:b w:val="0"/>
          <w:bCs/>
          <w:color w:val="000000"/>
          <w:sz w:val="32"/>
          <w:szCs w:val="32"/>
          <w:lang w:val="en-US" w:eastAsia="zh-CN"/>
        </w:rPr>
        <w:t>研判</w:t>
      </w:r>
      <w:r>
        <w:rPr>
          <w:rFonts w:hint="eastAsia" w:ascii="仿宋_GB2312" w:hAnsi="仿宋_GB2312" w:eastAsia="仿宋_GB2312" w:cs="仿宋_GB2312"/>
          <w:b w:val="0"/>
          <w:bCs/>
          <w:color w:val="000000"/>
          <w:sz w:val="32"/>
          <w:szCs w:val="32"/>
          <w:lang w:eastAsia="zh-CN"/>
        </w:rPr>
        <w:t>后</w:t>
      </w:r>
      <w:r>
        <w:rPr>
          <w:rFonts w:hint="eastAsia" w:ascii="仿宋_GB2312" w:hAnsi="仿宋_GB2312" w:eastAsia="仿宋_GB2312" w:cs="仿宋_GB2312"/>
          <w:b w:val="0"/>
          <w:bCs/>
          <w:color w:val="000000"/>
          <w:sz w:val="32"/>
          <w:szCs w:val="32"/>
          <w:lang w:val="en-US" w:eastAsia="zh-CN"/>
        </w:rPr>
        <w:t>进行处理</w:t>
      </w:r>
      <w:r>
        <w:rPr>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val="en-US" w:eastAsia="zh-CN"/>
        </w:rPr>
        <w:t>9.</w:t>
      </w:r>
      <w:r>
        <w:rPr>
          <w:rFonts w:hint="eastAsia" w:ascii="仿宋_GB2312" w:hAnsi="仿宋_GB2312" w:eastAsia="仿宋_GB2312" w:cs="仿宋_GB2312"/>
          <w:b w:val="0"/>
          <w:bCs/>
          <w:color w:val="000000"/>
          <w:sz w:val="32"/>
          <w:szCs w:val="32"/>
          <w:lang w:eastAsia="zh-CN"/>
        </w:rPr>
        <w:t>各</w:t>
      </w:r>
      <w:r>
        <w:rPr>
          <w:rFonts w:hint="eastAsia" w:ascii="仿宋_GB2312" w:hAnsi="仿宋_GB2312" w:eastAsia="仿宋_GB2312" w:cs="仿宋_GB2312"/>
          <w:b w:val="0"/>
          <w:bCs/>
          <w:color w:val="000000"/>
          <w:sz w:val="32"/>
          <w:szCs w:val="32"/>
          <w:lang w:val="en-US" w:eastAsia="zh-CN"/>
        </w:rPr>
        <w:t>单位</w:t>
      </w:r>
      <w:r>
        <w:rPr>
          <w:rFonts w:hint="eastAsia" w:ascii="仿宋_GB2312" w:hAnsi="仿宋_GB2312" w:eastAsia="仿宋_GB2312" w:cs="仿宋_GB2312"/>
          <w:b w:val="0"/>
          <w:bCs/>
          <w:color w:val="000000"/>
          <w:sz w:val="32"/>
          <w:szCs w:val="32"/>
          <w:lang w:eastAsia="zh-CN"/>
        </w:rPr>
        <w:t>根据辨识出的风险等级，从工程控制措施、管理控制措施、个体防护措施、应急措施等方面检查，完善控制措施，组织相关人员进行培训学习。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10.</w:t>
      </w:r>
      <w:r>
        <w:rPr>
          <w:rFonts w:hint="eastAsia" w:ascii="仿宋_GB2312" w:hAnsi="仿宋_GB2312" w:eastAsia="仿宋_GB2312" w:cs="仿宋_GB2312"/>
          <w:b w:val="0"/>
          <w:bCs/>
          <w:color w:val="000000"/>
          <w:sz w:val="32"/>
          <w:szCs w:val="32"/>
          <w:lang w:eastAsia="zh-CN"/>
        </w:rPr>
        <w:t>各</w:t>
      </w:r>
      <w:r>
        <w:rPr>
          <w:rFonts w:hint="eastAsia" w:ascii="仿宋_GB2312" w:hAnsi="仿宋_GB2312" w:eastAsia="仿宋_GB2312" w:cs="仿宋_GB2312"/>
          <w:b w:val="0"/>
          <w:bCs/>
          <w:color w:val="000000"/>
          <w:sz w:val="32"/>
          <w:szCs w:val="32"/>
          <w:lang w:val="en-US" w:eastAsia="zh-CN"/>
        </w:rPr>
        <w:t>级风险评价、管控小组每次风险辨识结束后，应由各级风险评价、管控小组组长签字审核，针对各系统安全风险和安全隐患，按照公司制定的安全风险等级评定标准，建立一整套安全风险数据库、重大安全风险清单、绘制“红橙黄蓝”四色安全风险空间分布图，汇总造册，要完善本单位安全风险档案，明确级别、管理状况、责任人、管控能力等基本情况，实行“一风险一档案”，并按照风险等级，用红、橙、黄、蓝等色彩对档案进行分类管理，对现场辨识出的不同类别安全风险，必须明确应急处置程序和措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11.各单位将分级管控结果对从业人员进行宣传、培训，将风险分级管控结果作为公司指导修订完善操作规程、工艺交出方案、检修方案、安全技术规程等技术措施，不断改进、补充、完善，确保管理层和每名员工熟练掌握安全风险的基本情况及防范、应急措施，在重点区域醒目位置设置安全风险公告栏，制作岗位安全风险告知卡，表明主要安全风险可能引发事故隐患类别、事故后果、管控措施、应急措施及报告方式等内容，对存在重大风险的工作场所和岗位，设置明显警示标志，加强危险源监测和预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七、检查考核</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1.对危险点排查不细致、不全面，控制措施与实际不符，存在应付现象或提交不积极，未按要求建立风险清单，给予责任单位负责人按一般“三违”考核。</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2.评价出的风险管控不当造成事故，依据公司安全一号文考核办法，对责任单位负责人和相关责任人进行考核。</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3.新增风险未及时进行分级管控，未纳入管理，给予责任单位负责人按一般“三违”考核。</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4.对于存在重大风险管控措施落实不到位、效果不达 标、责任不落实的将采取通报、警示告知、警示约谈、责任倒查等方式进行问责。重大风险管控不力，情节严重或造成事故后果的，依据公司安全一号文严肃追究相关单位和人员的责任。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5.各级值班人员对重大风险管控措施落实情况负监督检查职责，各级管理人员、岗位作人员发现重大风险管控措施落实不到位，应及时发出风险预警并进行汇报，发现重大风险管控不力可能导致重大隐患的，应立即停止作业活动或设备设施使用，撤出所有受威胁区域的作业人员，及时向本单位负责人和调度报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6.其他未尽事宜将依据公司安全一号文进行考核。</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附件：1.西北能化公司重大风险管控责任清单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2.西北能化公司风险分级管控作业指导书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default"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3200" w:firstLineChars="100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鄂尔多斯市西北能源化工有限责任公司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宋体" w:eastAsia="仿宋_GB2312"/>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20</w:t>
      </w:r>
      <w:r>
        <w:rPr>
          <w:rFonts w:hint="eastAsia" w:ascii="仿宋_GB2312" w:hAnsi="仿宋_GB2312" w:eastAsia="仿宋_GB2312" w:cs="仿宋_GB2312"/>
          <w:b w:val="0"/>
          <w:bCs/>
          <w:color w:val="000000"/>
          <w:sz w:val="32"/>
          <w:szCs w:val="32"/>
          <w:lang w:val="en-US" w:eastAsia="zh-CN"/>
        </w:rPr>
        <w:t>21</w:t>
      </w:r>
      <w:r>
        <w:rPr>
          <w:rFonts w:hint="eastAsia" w:ascii="仿宋_GB2312" w:hAnsi="仿宋_GB2312" w:eastAsia="仿宋_GB2312" w:cs="仿宋_GB2312"/>
          <w:b w:val="0"/>
          <w:bCs/>
          <w:color w:val="000000"/>
          <w:sz w:val="32"/>
          <w:szCs w:val="32"/>
        </w:rPr>
        <w:t>年</w:t>
      </w:r>
      <w:r>
        <w:rPr>
          <w:rFonts w:hint="eastAsia" w:ascii="仿宋_GB2312" w:hAnsi="仿宋_GB2312" w:eastAsia="仿宋_GB2312" w:cs="仿宋_GB2312"/>
          <w:b w:val="0"/>
          <w:bCs/>
          <w:color w:val="000000"/>
          <w:sz w:val="32"/>
          <w:szCs w:val="32"/>
          <w:lang w:val="en-US" w:eastAsia="zh-CN"/>
        </w:rPr>
        <w:t>1</w:t>
      </w:r>
      <w:r>
        <w:rPr>
          <w:rFonts w:hint="eastAsia" w:ascii="仿宋_GB2312" w:hAnsi="仿宋_GB2312" w:eastAsia="仿宋_GB2312" w:cs="仿宋_GB2312"/>
          <w:b w:val="0"/>
          <w:bCs/>
          <w:color w:val="000000"/>
          <w:sz w:val="32"/>
          <w:szCs w:val="32"/>
        </w:rPr>
        <w:t>月</w:t>
      </w:r>
      <w:r>
        <w:rPr>
          <w:rFonts w:hint="eastAsia" w:ascii="仿宋_GB2312" w:hAnsi="仿宋_GB2312" w:eastAsia="仿宋_GB2312" w:cs="仿宋_GB2312"/>
          <w:b w:val="0"/>
          <w:bCs/>
          <w:color w:val="000000"/>
          <w:sz w:val="32"/>
          <w:szCs w:val="32"/>
          <w:lang w:val="en-US" w:eastAsia="zh-CN"/>
        </w:rPr>
        <w:t>22</w:t>
      </w:r>
      <w:r>
        <w:rPr>
          <w:rFonts w:hint="eastAsia" w:ascii="仿宋_GB2312" w:hAnsi="仿宋_GB2312" w:eastAsia="仿宋_GB2312" w:cs="仿宋_GB2312"/>
          <w:b w:val="0"/>
          <w:bCs/>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60" w:lineRule="exact"/>
        <w:ind w:right="28"/>
        <w:jc w:val="left"/>
        <w:textAlignment w:val="auto"/>
      </w:pP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西北能化公司</w:t>
      </w:r>
      <w:r>
        <w:rPr>
          <w:rFonts w:hint="eastAsia" w:ascii="仿宋_GB2312" w:hAnsi="仿宋" w:eastAsia="仿宋_GB2312"/>
          <w:snapToGrid w:val="0"/>
          <w:color w:val="auto"/>
          <w:sz w:val="28"/>
          <w:szCs w:val="28"/>
        </w:rPr>
        <w:t xml:space="preserve">综合部                    </w:t>
      </w:r>
      <w:r>
        <w:rPr>
          <w:rFonts w:hint="eastAsia" w:ascii="仿宋_GB2312" w:hAnsi="仿宋" w:eastAsia="仿宋_GB2312"/>
          <w:snapToGrid w:val="0"/>
          <w:color w:val="auto"/>
          <w:sz w:val="28"/>
          <w:szCs w:val="28"/>
          <w:lang w:val="en-US" w:eastAsia="zh-CN"/>
        </w:rPr>
        <w:t xml:space="preserve">   </w:t>
      </w:r>
      <w:r>
        <w:rPr>
          <w:rFonts w:hint="eastAsia" w:ascii="仿宋_GB2312" w:hAnsi="仿宋" w:eastAsia="仿宋_GB2312"/>
          <w:snapToGrid w:val="0"/>
          <w:color w:val="auto"/>
          <w:sz w:val="28"/>
          <w:szCs w:val="28"/>
        </w:rPr>
        <w:t>20</w:t>
      </w:r>
      <w:r>
        <w:rPr>
          <w:rFonts w:hint="eastAsia" w:ascii="仿宋_GB2312" w:hAnsi="仿宋" w:eastAsia="仿宋_GB2312"/>
          <w:snapToGrid w:val="0"/>
          <w:color w:val="auto"/>
          <w:sz w:val="28"/>
          <w:szCs w:val="28"/>
          <w:lang w:val="en-US" w:eastAsia="zh-CN"/>
        </w:rPr>
        <w:t>21</w:t>
      </w:r>
      <w:r>
        <w:rPr>
          <w:rFonts w:hint="eastAsia" w:ascii="仿宋_GB2312" w:hAnsi="仿宋" w:eastAsia="仿宋_GB2312"/>
          <w:snapToGrid w:val="0"/>
          <w:color w:val="auto"/>
          <w:sz w:val="28"/>
          <w:szCs w:val="28"/>
        </w:rPr>
        <w:t>年</w:t>
      </w:r>
      <w:r>
        <w:rPr>
          <w:rFonts w:hint="eastAsia" w:ascii="仿宋_GB2312" w:hAnsi="仿宋" w:eastAsia="仿宋_GB2312"/>
          <w:snapToGrid w:val="0"/>
          <w:color w:val="auto"/>
          <w:sz w:val="28"/>
          <w:szCs w:val="28"/>
          <w:lang w:val="en-US" w:eastAsia="zh-CN"/>
        </w:rPr>
        <w:t>1</w:t>
      </w:r>
      <w:r>
        <w:rPr>
          <w:rFonts w:hint="eastAsia" w:ascii="仿宋_GB2312" w:hAnsi="仿宋" w:eastAsia="仿宋_GB2312"/>
          <w:snapToGrid w:val="0"/>
          <w:color w:val="auto"/>
          <w:sz w:val="28"/>
          <w:szCs w:val="28"/>
        </w:rPr>
        <w:t>月</w:t>
      </w:r>
      <w:r>
        <w:rPr>
          <w:rFonts w:hint="eastAsia" w:ascii="仿宋_GB2312" w:hAnsi="仿宋" w:eastAsia="仿宋_GB2312"/>
          <w:snapToGrid w:val="0"/>
          <w:color w:val="auto"/>
          <w:sz w:val="28"/>
          <w:szCs w:val="28"/>
          <w:lang w:val="en-US" w:eastAsia="zh-CN"/>
        </w:rPr>
        <w:t>22</w:t>
      </w:r>
      <w:r>
        <w:rPr>
          <w:rFonts w:hint="eastAsia" w:ascii="仿宋_GB2312" w:hAnsi="仿宋" w:eastAsia="仿宋_GB2312"/>
          <w:snapToGrid w:val="0"/>
          <w:color w:val="auto"/>
          <w:sz w:val="28"/>
          <w:szCs w:val="28"/>
        </w:rPr>
        <w:t>日印发</w:t>
      </w:r>
    </w:p>
    <w:p>
      <w:pPr>
        <w:sectPr>
          <w:footerReference r:id="rId4" w:type="default"/>
          <w:pgSz w:w="11906" w:h="16838"/>
          <w:pgMar w:top="1417" w:right="1474" w:bottom="1984" w:left="1587" w:header="851" w:footer="2381" w:gutter="0"/>
          <w:pgNumType w:fmt="numberInDash" w:start="2"/>
          <w:cols w:space="720" w:num="1"/>
          <w:rtlGutter w:val="0"/>
          <w:docGrid w:linePitch="312" w:charSpace="0"/>
        </w:sectPr>
      </w:pPr>
    </w:p>
    <w:tbl>
      <w:tblPr>
        <w:tblStyle w:val="6"/>
        <w:tblW w:w="16400" w:type="dxa"/>
        <w:tblInd w:w="-1222" w:type="dxa"/>
        <w:tblLayout w:type="fixed"/>
        <w:tblCellMar>
          <w:top w:w="15" w:type="dxa"/>
          <w:left w:w="15" w:type="dxa"/>
          <w:bottom w:w="15" w:type="dxa"/>
          <w:right w:w="15" w:type="dxa"/>
        </w:tblCellMar>
      </w:tblPr>
      <w:tblGrid>
        <w:gridCol w:w="334"/>
        <w:gridCol w:w="776"/>
        <w:gridCol w:w="540"/>
        <w:gridCol w:w="750"/>
        <w:gridCol w:w="900"/>
        <w:gridCol w:w="7733"/>
        <w:gridCol w:w="1575"/>
        <w:gridCol w:w="1550"/>
        <w:gridCol w:w="1855"/>
        <w:gridCol w:w="387"/>
      </w:tblGrid>
      <w:tr>
        <w:tblPrEx>
          <w:tblCellMar>
            <w:top w:w="15" w:type="dxa"/>
            <w:left w:w="15" w:type="dxa"/>
            <w:bottom w:w="15" w:type="dxa"/>
            <w:right w:w="15" w:type="dxa"/>
          </w:tblCellMar>
        </w:tblPrEx>
        <w:trPr>
          <w:trHeight w:val="196" w:hRule="atLeast"/>
        </w:trPr>
        <w:tc>
          <w:tcPr>
            <w:tcW w:w="16400" w:type="dxa"/>
            <w:gridSpan w:val="10"/>
            <w:shd w:val="clear" w:color="auto" w:fill="auto"/>
            <w:vAlign w:val="center"/>
          </w:tcPr>
          <w:p>
            <w:pPr>
              <w:numPr>
                <w:ilvl w:val="0"/>
                <w:numId w:val="0"/>
              </w:numPr>
              <w:spacing w:line="560" w:lineRule="exact"/>
              <w:ind w:firstLine="560" w:firstLineChars="200"/>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附件1</w:t>
            </w:r>
          </w:p>
          <w:p>
            <w:pPr>
              <w:widowControl/>
              <w:jc w:val="center"/>
              <w:textAlignment w:val="center"/>
              <w:rPr>
                <w:rFonts w:asciiTheme="minorEastAsia" w:hAnsiTheme="minorEastAsia" w:cstheme="minorEastAsia"/>
                <w:b/>
                <w:color w:val="000000"/>
                <w:sz w:val="24"/>
              </w:rPr>
            </w:pPr>
            <w:r>
              <w:rPr>
                <w:rFonts w:hint="eastAsia" w:asciiTheme="minorEastAsia" w:hAnsiTheme="minorEastAsia" w:cstheme="minorEastAsia"/>
                <w:b/>
                <w:color w:val="000000"/>
                <w:kern w:val="0"/>
                <w:sz w:val="36"/>
                <w:szCs w:val="36"/>
                <w:lang w:bidi="ar"/>
              </w:rPr>
              <w:t>西北能化公司</w:t>
            </w:r>
            <w:r>
              <w:rPr>
                <w:rFonts w:hint="eastAsia" w:asciiTheme="minorEastAsia" w:hAnsiTheme="minorEastAsia" w:cstheme="minorEastAsia"/>
                <w:b/>
                <w:color w:val="000000"/>
                <w:kern w:val="0"/>
                <w:sz w:val="36"/>
                <w:szCs w:val="36"/>
                <w:lang w:val="en-US" w:eastAsia="zh-CN" w:bidi="ar"/>
              </w:rPr>
              <w:t>重大</w:t>
            </w:r>
            <w:r>
              <w:rPr>
                <w:rFonts w:hint="eastAsia" w:asciiTheme="minorEastAsia" w:hAnsiTheme="minorEastAsia" w:cstheme="minorEastAsia"/>
                <w:b/>
                <w:color w:val="000000"/>
                <w:kern w:val="0"/>
                <w:sz w:val="36"/>
                <w:szCs w:val="36"/>
                <w:lang w:bidi="ar"/>
              </w:rPr>
              <w:t>风险</w:t>
            </w:r>
            <w:r>
              <w:rPr>
                <w:rFonts w:hint="eastAsia" w:asciiTheme="minorEastAsia" w:hAnsiTheme="minorEastAsia" w:cstheme="minorEastAsia"/>
                <w:b/>
                <w:color w:val="000000"/>
                <w:kern w:val="0"/>
                <w:sz w:val="36"/>
                <w:szCs w:val="36"/>
                <w:lang w:val="en-US" w:eastAsia="zh-CN" w:bidi="ar"/>
              </w:rPr>
              <w:t>管控责任</w:t>
            </w:r>
            <w:r>
              <w:rPr>
                <w:rFonts w:hint="eastAsia" w:asciiTheme="minorEastAsia" w:hAnsiTheme="minorEastAsia" w:cstheme="minorEastAsia"/>
                <w:b/>
                <w:color w:val="000000"/>
                <w:kern w:val="0"/>
                <w:sz w:val="36"/>
                <w:szCs w:val="36"/>
                <w:lang w:bidi="ar"/>
              </w:rPr>
              <w:t>清单</w:t>
            </w:r>
          </w:p>
        </w:tc>
      </w:tr>
      <w:tr>
        <w:tblPrEx>
          <w:tblCellMar>
            <w:top w:w="15" w:type="dxa"/>
            <w:left w:w="15" w:type="dxa"/>
            <w:bottom w:w="15" w:type="dxa"/>
            <w:right w:w="15" w:type="dxa"/>
          </w:tblCellMar>
        </w:tblPrEx>
        <w:trPr>
          <w:gridAfter w:val="1"/>
          <w:wAfter w:w="387" w:type="dxa"/>
          <w:trHeight w:val="656" w:hRule="atLeast"/>
        </w:trPr>
        <w:tc>
          <w:tcPr>
            <w:tcW w:w="33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序号</w:t>
            </w:r>
          </w:p>
        </w:tc>
        <w:tc>
          <w:tcPr>
            <w:tcW w:w="77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eastAsia" w:asciiTheme="minorEastAsia" w:hAnsiTheme="minorEastAsia" w:eastAsiaTheme="minorEastAsia" w:cstheme="minorEastAsia"/>
                <w:color w:val="000000" w:themeColor="text1"/>
                <w:sz w:val="18"/>
                <w:szCs w:val="18"/>
                <w:highlight w:val="none"/>
                <w:shd w:val="clear" w:color="auto" w:fill="auto"/>
                <w:lang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危险源</w:t>
            </w:r>
          </w:p>
        </w:tc>
        <w:tc>
          <w:tcPr>
            <w:tcW w:w="54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位置</w:t>
            </w:r>
          </w:p>
        </w:tc>
        <w:tc>
          <w:tcPr>
            <w:tcW w:w="7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eastAsia" w:asciiTheme="minorEastAsia" w:hAnsiTheme="minorEastAsia" w:eastAsiaTheme="minorEastAsia" w:cstheme="minorEastAsia"/>
                <w:color w:val="000000" w:themeColor="text1"/>
                <w:sz w:val="18"/>
                <w:szCs w:val="18"/>
                <w:highlight w:val="none"/>
                <w:shd w:val="clear" w:color="auto" w:fill="auto"/>
                <w:lang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评价级别</w:t>
            </w:r>
          </w:p>
        </w:tc>
        <w:tc>
          <w:tcPr>
            <w:tcW w:w="90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主要</w:t>
            </w:r>
          </w:p>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后果</w:t>
            </w:r>
          </w:p>
        </w:tc>
        <w:tc>
          <w:tcPr>
            <w:tcW w:w="773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sz w:val="18"/>
                <w:szCs w:val="18"/>
                <w:highlight w:val="none"/>
                <w:shd w:val="clear" w:color="auto" w:fill="auto"/>
                <w:lang w:val="en-US" w:eastAsia="zh-CN"/>
                <w14:textFill>
                  <w14:solidFill>
                    <w14:schemeClr w14:val="tx1"/>
                  </w14:solidFill>
                </w14:textFill>
              </w:rPr>
              <w:t>风险描述</w:t>
            </w:r>
          </w:p>
        </w:tc>
        <w:tc>
          <w:tcPr>
            <w:tcW w:w="15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车间级管控责任人</w:t>
            </w:r>
          </w:p>
        </w:tc>
        <w:tc>
          <w:tcPr>
            <w:tcW w:w="15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部门级管控责任人</w:t>
            </w:r>
          </w:p>
        </w:tc>
        <w:tc>
          <w:tcPr>
            <w:tcW w:w="185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公司级管控责任人</w:t>
            </w:r>
          </w:p>
        </w:tc>
      </w:tr>
      <w:tr>
        <w:tblPrEx>
          <w:tblCellMar>
            <w:top w:w="15" w:type="dxa"/>
            <w:left w:w="15" w:type="dxa"/>
            <w:bottom w:w="15" w:type="dxa"/>
            <w:right w:w="15" w:type="dxa"/>
          </w:tblCellMar>
        </w:tblPrEx>
        <w:trPr>
          <w:gridAfter w:val="1"/>
          <w:wAfter w:w="387" w:type="dxa"/>
          <w:trHeight w:val="510" w:hRule="atLeast"/>
        </w:trPr>
        <w:tc>
          <w:tcPr>
            <w:tcW w:w="3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1</w:t>
            </w:r>
          </w:p>
        </w:tc>
        <w:tc>
          <w:tcPr>
            <w:tcW w:w="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成品罐区</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bidi="ar"/>
                <w14:textFill>
                  <w14:solidFill>
                    <w14:schemeClr w14:val="tx1"/>
                  </w14:solidFill>
                </w14:textFill>
              </w:rPr>
              <w:t>净化合成</w:t>
            </w: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车间</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重大</w:t>
            </w:r>
          </w:p>
          <w:p>
            <w:pPr>
              <w:widowControl/>
              <w:jc w:val="center"/>
              <w:textAlignment w:val="cente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风险</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火灾</w:t>
            </w:r>
          </w:p>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爆炸</w:t>
            </w:r>
          </w:p>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中毒</w:t>
            </w:r>
          </w:p>
          <w:p>
            <w:pPr>
              <w:widowControl/>
              <w:numPr>
                <w:ilvl w:val="0"/>
                <w:numId w:val="0"/>
              </w:numPr>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环境污染</w:t>
            </w: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pP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1.阻火器、</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压力表</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、液位</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计</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温度计</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等安全附件故障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2.泡沫灭火系统、消防喷淋系统故障，消防器材、应急器材缺失或失效</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3.储罐氮封系统故障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4.罐区地面、墙壁发生塌陷</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5.无关人员进入罐区</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6.人体静电释放器、静电跨接失效，电气设备设施和控制系统供电故障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霍爱会</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7.可燃气体探测仪（甲醇）检测报警装置故障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8.视频监控系统故障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9.罐区自动控制系统、SIS紧急切断联锁系统故障或阀门（远程控制）故障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10.压力、液位等信息的不间断采集和监测系统与联锁紧急切断系统故障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11.储罐罐壁、人孔、法兰、管道发生泄漏</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12.检维修和特殊作业</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许令奇、郭勇</w:t>
            </w:r>
          </w:p>
        </w:tc>
      </w:tr>
    </w:tbl>
    <w:p/>
    <w:p>
      <w:pPr>
        <w:bidi w:val="0"/>
        <w:ind w:firstLine="513" w:firstLineChars="0"/>
        <w:jc w:val="left"/>
        <w:rPr>
          <w:rFonts w:asciiTheme="minorHAnsi" w:hAnsiTheme="minorHAnsi" w:eastAsiaTheme="minorEastAsia" w:cstheme="minorBidi"/>
          <w:kern w:val="2"/>
          <w:sz w:val="21"/>
          <w:szCs w:val="24"/>
          <w:lang w:val="en-US" w:eastAsia="zh-CN" w:bidi="ar-SA"/>
        </w:rPr>
      </w:pPr>
    </w:p>
    <w:p>
      <w:pPr>
        <w:bidi w:val="0"/>
        <w:ind w:firstLine="513" w:firstLineChars="0"/>
        <w:jc w:val="left"/>
        <w:rPr>
          <w:rFonts w:asciiTheme="minorHAnsi" w:hAnsiTheme="minorHAnsi" w:eastAsiaTheme="minorEastAsia" w:cstheme="minorBidi"/>
          <w:kern w:val="2"/>
          <w:sz w:val="21"/>
          <w:szCs w:val="24"/>
          <w:lang w:val="en-US" w:eastAsia="zh-CN" w:bidi="ar-SA"/>
        </w:rPr>
        <w:sectPr>
          <w:footerReference r:id="rId5" w:type="default"/>
          <w:pgSz w:w="16783" w:h="11850" w:orient="landscape"/>
          <w:pgMar w:top="1157" w:right="1803" w:bottom="1440" w:left="1701" w:header="851" w:footer="992" w:gutter="0"/>
          <w:pgNumType w:fmt="numberInDash" w:start="13"/>
          <w:cols w:space="0" w:num="1"/>
          <w:docGrid w:type="lines" w:linePitch="312" w:charSpace="0"/>
        </w:sectPr>
      </w:pPr>
    </w:p>
    <w:p>
      <w:pPr>
        <w:bidi w:val="0"/>
        <w:ind w:firstLine="513" w:firstLineChars="0"/>
        <w:jc w:val="left"/>
        <w:rPr>
          <w:rFonts w:asciiTheme="minorHAnsi" w:hAnsiTheme="minorHAnsi" w:eastAsiaTheme="minorEastAsia" w:cstheme="minorBidi"/>
          <w:kern w:val="2"/>
          <w:sz w:val="21"/>
          <w:szCs w:val="24"/>
          <w:lang w:val="en-US" w:eastAsia="zh-CN" w:bidi="ar-SA"/>
        </w:rPr>
      </w:pPr>
    </w:p>
    <w:p>
      <w:pPr>
        <w:bidi w:val="0"/>
        <w:ind w:firstLine="513" w:firstLineChars="0"/>
        <w:jc w:val="left"/>
        <w:rPr>
          <w:rFonts w:asciiTheme="minorHAnsi" w:hAnsiTheme="minorHAnsi" w:eastAsiaTheme="minorEastAsia" w:cstheme="minorBidi"/>
          <w:kern w:val="2"/>
          <w:sz w:val="21"/>
          <w:szCs w:val="24"/>
          <w:lang w:val="en-US" w:eastAsia="zh-CN" w:bidi="ar-SA"/>
        </w:rPr>
      </w:pPr>
    </w:p>
    <w:tbl>
      <w:tblPr>
        <w:tblStyle w:val="6"/>
        <w:tblW w:w="16400" w:type="dxa"/>
        <w:tblInd w:w="-1222" w:type="dxa"/>
        <w:tblLayout w:type="fixed"/>
        <w:tblCellMar>
          <w:top w:w="15" w:type="dxa"/>
          <w:left w:w="15" w:type="dxa"/>
          <w:bottom w:w="15" w:type="dxa"/>
          <w:right w:w="15" w:type="dxa"/>
        </w:tblCellMar>
      </w:tblPr>
      <w:tblGrid>
        <w:gridCol w:w="334"/>
        <w:gridCol w:w="776"/>
        <w:gridCol w:w="540"/>
        <w:gridCol w:w="750"/>
        <w:gridCol w:w="900"/>
        <w:gridCol w:w="7733"/>
        <w:gridCol w:w="1575"/>
        <w:gridCol w:w="1550"/>
        <w:gridCol w:w="1855"/>
        <w:gridCol w:w="387"/>
      </w:tblGrid>
      <w:tr>
        <w:tblPrEx>
          <w:tblCellMar>
            <w:top w:w="15" w:type="dxa"/>
            <w:left w:w="15" w:type="dxa"/>
            <w:bottom w:w="15" w:type="dxa"/>
            <w:right w:w="15" w:type="dxa"/>
          </w:tblCellMar>
        </w:tblPrEx>
        <w:trPr>
          <w:trHeight w:val="196" w:hRule="atLeast"/>
        </w:trPr>
        <w:tc>
          <w:tcPr>
            <w:tcW w:w="16400" w:type="dxa"/>
            <w:gridSpan w:val="10"/>
            <w:shd w:val="clear" w:color="auto" w:fill="auto"/>
            <w:vAlign w:val="center"/>
          </w:tcPr>
          <w:p>
            <w:pPr>
              <w:widowControl/>
              <w:jc w:val="center"/>
              <w:textAlignment w:val="center"/>
              <w:rPr>
                <w:rFonts w:asciiTheme="minorEastAsia" w:hAnsiTheme="minorEastAsia" w:cstheme="minorEastAsia"/>
                <w:b/>
                <w:color w:val="000000"/>
                <w:sz w:val="24"/>
              </w:rPr>
            </w:pPr>
            <w:r>
              <w:rPr>
                <w:rFonts w:hint="eastAsia" w:asciiTheme="minorEastAsia" w:hAnsiTheme="minorEastAsia" w:cstheme="minorEastAsia"/>
                <w:b/>
                <w:color w:val="000000"/>
                <w:kern w:val="0"/>
                <w:sz w:val="36"/>
                <w:szCs w:val="36"/>
                <w:lang w:bidi="ar"/>
              </w:rPr>
              <w:t>西北能化公司</w:t>
            </w:r>
            <w:r>
              <w:rPr>
                <w:rFonts w:hint="eastAsia" w:asciiTheme="minorEastAsia" w:hAnsiTheme="minorEastAsia" w:cstheme="minorEastAsia"/>
                <w:b/>
                <w:color w:val="000000"/>
                <w:kern w:val="0"/>
                <w:sz w:val="36"/>
                <w:szCs w:val="36"/>
                <w:lang w:val="en-US" w:eastAsia="zh-CN" w:bidi="ar"/>
              </w:rPr>
              <w:t>重大</w:t>
            </w:r>
            <w:r>
              <w:rPr>
                <w:rFonts w:hint="eastAsia" w:asciiTheme="minorEastAsia" w:hAnsiTheme="minorEastAsia" w:cstheme="minorEastAsia"/>
                <w:b/>
                <w:color w:val="000000"/>
                <w:kern w:val="0"/>
                <w:sz w:val="36"/>
                <w:szCs w:val="36"/>
                <w:lang w:bidi="ar"/>
              </w:rPr>
              <w:t>风险</w:t>
            </w:r>
            <w:r>
              <w:rPr>
                <w:rFonts w:hint="eastAsia" w:asciiTheme="minorEastAsia" w:hAnsiTheme="minorEastAsia" w:cstheme="minorEastAsia"/>
                <w:b/>
                <w:color w:val="000000"/>
                <w:kern w:val="0"/>
                <w:sz w:val="36"/>
                <w:szCs w:val="36"/>
                <w:lang w:val="en-US" w:eastAsia="zh-CN" w:bidi="ar"/>
              </w:rPr>
              <w:t>管控责任</w:t>
            </w:r>
            <w:r>
              <w:rPr>
                <w:rFonts w:hint="eastAsia" w:asciiTheme="minorEastAsia" w:hAnsiTheme="minorEastAsia" w:cstheme="minorEastAsia"/>
                <w:b/>
                <w:color w:val="000000"/>
                <w:kern w:val="0"/>
                <w:sz w:val="36"/>
                <w:szCs w:val="36"/>
                <w:lang w:bidi="ar"/>
              </w:rPr>
              <w:t>清单</w:t>
            </w:r>
          </w:p>
        </w:tc>
      </w:tr>
      <w:tr>
        <w:tblPrEx>
          <w:tblCellMar>
            <w:top w:w="15" w:type="dxa"/>
            <w:left w:w="15" w:type="dxa"/>
            <w:bottom w:w="15" w:type="dxa"/>
            <w:right w:w="15" w:type="dxa"/>
          </w:tblCellMar>
        </w:tblPrEx>
        <w:trPr>
          <w:gridAfter w:val="1"/>
          <w:wAfter w:w="387" w:type="dxa"/>
          <w:trHeight w:val="656" w:hRule="atLeast"/>
        </w:trPr>
        <w:tc>
          <w:tcPr>
            <w:tcW w:w="33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序号</w:t>
            </w:r>
          </w:p>
        </w:tc>
        <w:tc>
          <w:tcPr>
            <w:tcW w:w="77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eastAsia" w:asciiTheme="minorEastAsia" w:hAnsiTheme="minorEastAsia" w:eastAsiaTheme="minorEastAsia" w:cstheme="minorEastAsia"/>
                <w:color w:val="000000" w:themeColor="text1"/>
                <w:sz w:val="18"/>
                <w:szCs w:val="18"/>
                <w:highlight w:val="none"/>
                <w:shd w:val="clear" w:color="auto" w:fill="auto"/>
                <w:lang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危险源</w:t>
            </w:r>
          </w:p>
        </w:tc>
        <w:tc>
          <w:tcPr>
            <w:tcW w:w="54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位置</w:t>
            </w:r>
          </w:p>
        </w:tc>
        <w:tc>
          <w:tcPr>
            <w:tcW w:w="7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eastAsia" w:asciiTheme="minorEastAsia" w:hAnsiTheme="minorEastAsia" w:eastAsiaTheme="minorEastAsia" w:cstheme="minorEastAsia"/>
                <w:color w:val="000000" w:themeColor="text1"/>
                <w:sz w:val="18"/>
                <w:szCs w:val="18"/>
                <w:highlight w:val="none"/>
                <w:shd w:val="clear" w:color="auto" w:fill="auto"/>
                <w:lang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评价级别</w:t>
            </w:r>
          </w:p>
        </w:tc>
        <w:tc>
          <w:tcPr>
            <w:tcW w:w="90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主要</w:t>
            </w:r>
          </w:p>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后果</w:t>
            </w:r>
          </w:p>
        </w:tc>
        <w:tc>
          <w:tcPr>
            <w:tcW w:w="773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sz w:val="18"/>
                <w:szCs w:val="18"/>
                <w:highlight w:val="none"/>
                <w:shd w:val="clear" w:color="auto" w:fill="auto"/>
                <w:lang w:val="en-US" w:eastAsia="zh-CN"/>
                <w14:textFill>
                  <w14:solidFill>
                    <w14:schemeClr w14:val="tx1"/>
                  </w14:solidFill>
                </w14:textFill>
              </w:rPr>
              <w:t>风险描述</w:t>
            </w:r>
          </w:p>
        </w:tc>
        <w:tc>
          <w:tcPr>
            <w:tcW w:w="15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车间级管控责任人</w:t>
            </w:r>
          </w:p>
        </w:tc>
        <w:tc>
          <w:tcPr>
            <w:tcW w:w="15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部门级管控责任人</w:t>
            </w:r>
          </w:p>
        </w:tc>
        <w:tc>
          <w:tcPr>
            <w:tcW w:w="185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公司级管控责任人</w:t>
            </w:r>
          </w:p>
        </w:tc>
      </w:tr>
      <w:tr>
        <w:tblPrEx>
          <w:tblCellMar>
            <w:top w:w="15" w:type="dxa"/>
            <w:left w:w="15" w:type="dxa"/>
            <w:bottom w:w="15" w:type="dxa"/>
            <w:right w:w="15" w:type="dxa"/>
          </w:tblCellMar>
        </w:tblPrEx>
        <w:trPr>
          <w:gridAfter w:val="1"/>
          <w:wAfter w:w="387" w:type="dxa"/>
          <w:trHeight w:val="510" w:hRule="atLeast"/>
        </w:trPr>
        <w:tc>
          <w:tcPr>
            <w:tcW w:w="3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2</w:t>
            </w:r>
          </w:p>
        </w:tc>
        <w:tc>
          <w:tcPr>
            <w:tcW w:w="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中间罐区</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bidi="ar"/>
                <w14:textFill>
                  <w14:solidFill>
                    <w14:schemeClr w14:val="tx1"/>
                  </w14:solidFill>
                </w14:textFill>
              </w:rPr>
              <w:t>净化合成</w:t>
            </w: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车间</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重大</w:t>
            </w:r>
          </w:p>
          <w:p>
            <w:pPr>
              <w:widowControl/>
              <w:jc w:val="center"/>
              <w:textAlignment w:val="cente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风险</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火灾</w:t>
            </w:r>
          </w:p>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爆炸</w:t>
            </w:r>
          </w:p>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中毒</w:t>
            </w:r>
          </w:p>
          <w:p>
            <w:pPr>
              <w:widowControl/>
              <w:numPr>
                <w:ilvl w:val="0"/>
                <w:numId w:val="0"/>
              </w:numPr>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环境污染</w:t>
            </w: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pP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1.阻火器、</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压力表</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、液位</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计</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温度计</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等安全附件故障</w:t>
            </w:r>
          </w:p>
        </w:tc>
        <w:tc>
          <w:tcPr>
            <w:tcW w:w="15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2.泡沫灭火系统、消防喷淋系统故障，消防器材、应急器材缺失或失效</w:t>
            </w:r>
          </w:p>
        </w:tc>
        <w:tc>
          <w:tcPr>
            <w:tcW w:w="15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3.储罐氮封系统故障</w:t>
            </w:r>
          </w:p>
        </w:tc>
        <w:tc>
          <w:tcPr>
            <w:tcW w:w="15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4.罐区地面、墙壁发生塌陷</w:t>
            </w:r>
          </w:p>
        </w:tc>
        <w:tc>
          <w:tcPr>
            <w:tcW w:w="15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5.无关人员进入罐区</w:t>
            </w:r>
          </w:p>
        </w:tc>
        <w:tc>
          <w:tcPr>
            <w:tcW w:w="15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6.人体静电释放器、静电跨接失效，电气设备设施和控制系统供电故障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霍爱会</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7.可燃气体探测仪（甲醇）检测报警装置故障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8.视频监控系统故障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9.自动控制系统、SIS紧急切断联锁系统故障或阀门（远程控制）故障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10.压力、液位等信息的不间断采集和监测系统与联锁紧急切断系统故障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11.储罐罐壁、人孔、法兰、管道发生泄漏</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12.检维修和特殊作业</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许令奇、郭勇</w:t>
            </w:r>
          </w:p>
        </w:tc>
      </w:tr>
    </w:tbl>
    <w:p>
      <w:pPr>
        <w:bidi w:val="0"/>
        <w:ind w:firstLine="513" w:firstLineChars="0"/>
        <w:jc w:val="left"/>
        <w:rPr>
          <w:rFonts w:asciiTheme="minorHAnsi" w:hAnsiTheme="minorHAnsi" w:eastAsiaTheme="minorEastAsia" w:cstheme="minorBidi"/>
          <w:kern w:val="2"/>
          <w:sz w:val="21"/>
          <w:szCs w:val="24"/>
          <w:lang w:val="en-US" w:eastAsia="zh-CN" w:bidi="ar-SA"/>
        </w:rPr>
      </w:pPr>
    </w:p>
    <w:p>
      <w:pPr>
        <w:bidi w:val="0"/>
        <w:ind w:firstLine="513" w:firstLineChars="0"/>
        <w:jc w:val="left"/>
        <w:rPr>
          <w:rFonts w:asciiTheme="minorHAnsi" w:hAnsiTheme="minorHAnsi" w:eastAsiaTheme="minorEastAsia" w:cstheme="minorBidi"/>
          <w:kern w:val="2"/>
          <w:sz w:val="21"/>
          <w:szCs w:val="24"/>
          <w:lang w:val="en-US" w:eastAsia="zh-CN" w:bidi="ar-SA"/>
        </w:rPr>
      </w:pPr>
    </w:p>
    <w:p>
      <w:pPr>
        <w:bidi w:val="0"/>
        <w:ind w:firstLine="513" w:firstLineChars="0"/>
        <w:jc w:val="left"/>
        <w:rPr>
          <w:rFonts w:asciiTheme="minorHAnsi" w:hAnsiTheme="minorHAnsi" w:eastAsiaTheme="minorEastAsia" w:cstheme="minorBidi"/>
          <w:kern w:val="2"/>
          <w:sz w:val="21"/>
          <w:szCs w:val="24"/>
          <w:lang w:val="en-US" w:eastAsia="zh-CN" w:bidi="ar-SA"/>
        </w:rPr>
        <w:sectPr>
          <w:footerReference r:id="rId6" w:type="default"/>
          <w:pgSz w:w="16783" w:h="11850" w:orient="landscape"/>
          <w:pgMar w:top="1157" w:right="1803" w:bottom="1440" w:left="1701" w:header="851" w:footer="992" w:gutter="0"/>
          <w:pgNumType w:fmt="numberInDash"/>
          <w:cols w:space="0" w:num="1"/>
          <w:docGrid w:type="lines" w:linePitch="312" w:charSpace="0"/>
        </w:sectPr>
      </w:pPr>
    </w:p>
    <w:p>
      <w:pPr>
        <w:bidi w:val="0"/>
        <w:ind w:firstLine="513" w:firstLineChars="0"/>
        <w:jc w:val="left"/>
        <w:rPr>
          <w:rFonts w:asciiTheme="minorHAnsi" w:hAnsiTheme="minorHAnsi" w:eastAsiaTheme="minorEastAsia" w:cstheme="minorBidi"/>
          <w:kern w:val="2"/>
          <w:sz w:val="21"/>
          <w:szCs w:val="24"/>
          <w:lang w:val="en-US" w:eastAsia="zh-CN" w:bidi="ar-SA"/>
        </w:rPr>
      </w:pPr>
    </w:p>
    <w:p>
      <w:pPr>
        <w:bidi w:val="0"/>
        <w:ind w:firstLine="513" w:firstLineChars="0"/>
        <w:jc w:val="left"/>
        <w:rPr>
          <w:rFonts w:asciiTheme="minorHAnsi" w:hAnsiTheme="minorHAnsi" w:eastAsiaTheme="minorEastAsia" w:cstheme="minorBidi"/>
          <w:kern w:val="2"/>
          <w:sz w:val="21"/>
          <w:szCs w:val="24"/>
          <w:lang w:val="en-US" w:eastAsia="zh-CN" w:bidi="ar-SA"/>
        </w:rPr>
      </w:pPr>
    </w:p>
    <w:tbl>
      <w:tblPr>
        <w:tblStyle w:val="6"/>
        <w:tblW w:w="16400" w:type="dxa"/>
        <w:tblInd w:w="-1222" w:type="dxa"/>
        <w:tblLayout w:type="fixed"/>
        <w:tblCellMar>
          <w:top w:w="15" w:type="dxa"/>
          <w:left w:w="15" w:type="dxa"/>
          <w:bottom w:w="15" w:type="dxa"/>
          <w:right w:w="15" w:type="dxa"/>
        </w:tblCellMar>
      </w:tblPr>
      <w:tblGrid>
        <w:gridCol w:w="334"/>
        <w:gridCol w:w="776"/>
        <w:gridCol w:w="540"/>
        <w:gridCol w:w="750"/>
        <w:gridCol w:w="900"/>
        <w:gridCol w:w="7733"/>
        <w:gridCol w:w="1575"/>
        <w:gridCol w:w="1550"/>
        <w:gridCol w:w="1855"/>
        <w:gridCol w:w="387"/>
      </w:tblGrid>
      <w:tr>
        <w:tblPrEx>
          <w:tblCellMar>
            <w:top w:w="15" w:type="dxa"/>
            <w:left w:w="15" w:type="dxa"/>
            <w:bottom w:w="15" w:type="dxa"/>
            <w:right w:w="15" w:type="dxa"/>
          </w:tblCellMar>
        </w:tblPrEx>
        <w:trPr>
          <w:trHeight w:val="196" w:hRule="atLeast"/>
        </w:trPr>
        <w:tc>
          <w:tcPr>
            <w:tcW w:w="16400" w:type="dxa"/>
            <w:gridSpan w:val="10"/>
            <w:shd w:val="clear" w:color="auto" w:fill="auto"/>
            <w:vAlign w:val="center"/>
          </w:tcPr>
          <w:p>
            <w:pPr>
              <w:widowControl/>
              <w:jc w:val="center"/>
              <w:textAlignment w:val="center"/>
              <w:rPr>
                <w:rFonts w:asciiTheme="minorEastAsia" w:hAnsiTheme="minorEastAsia" w:cstheme="minorEastAsia"/>
                <w:b/>
                <w:color w:val="000000"/>
                <w:sz w:val="24"/>
              </w:rPr>
            </w:pPr>
            <w:r>
              <w:rPr>
                <w:rFonts w:hint="eastAsia" w:asciiTheme="minorEastAsia" w:hAnsiTheme="minorEastAsia" w:cstheme="minorEastAsia"/>
                <w:b/>
                <w:color w:val="000000"/>
                <w:kern w:val="0"/>
                <w:sz w:val="36"/>
                <w:szCs w:val="36"/>
                <w:lang w:bidi="ar"/>
              </w:rPr>
              <w:t>西北能化公司</w:t>
            </w:r>
            <w:r>
              <w:rPr>
                <w:rFonts w:hint="eastAsia" w:asciiTheme="minorEastAsia" w:hAnsiTheme="minorEastAsia" w:cstheme="minorEastAsia"/>
                <w:b/>
                <w:color w:val="000000"/>
                <w:kern w:val="0"/>
                <w:sz w:val="36"/>
                <w:szCs w:val="36"/>
                <w:lang w:val="en-US" w:eastAsia="zh-CN" w:bidi="ar"/>
              </w:rPr>
              <w:t>重大</w:t>
            </w:r>
            <w:r>
              <w:rPr>
                <w:rFonts w:hint="eastAsia" w:asciiTheme="minorEastAsia" w:hAnsiTheme="minorEastAsia" w:cstheme="minorEastAsia"/>
                <w:b/>
                <w:color w:val="000000"/>
                <w:kern w:val="0"/>
                <w:sz w:val="36"/>
                <w:szCs w:val="36"/>
                <w:lang w:bidi="ar"/>
              </w:rPr>
              <w:t>风险</w:t>
            </w:r>
            <w:r>
              <w:rPr>
                <w:rFonts w:hint="eastAsia" w:asciiTheme="minorEastAsia" w:hAnsiTheme="minorEastAsia" w:cstheme="minorEastAsia"/>
                <w:b/>
                <w:color w:val="000000"/>
                <w:kern w:val="0"/>
                <w:sz w:val="36"/>
                <w:szCs w:val="36"/>
                <w:lang w:val="en-US" w:eastAsia="zh-CN" w:bidi="ar"/>
              </w:rPr>
              <w:t>管控责任</w:t>
            </w:r>
            <w:r>
              <w:rPr>
                <w:rFonts w:hint="eastAsia" w:asciiTheme="minorEastAsia" w:hAnsiTheme="minorEastAsia" w:cstheme="minorEastAsia"/>
                <w:b/>
                <w:color w:val="000000"/>
                <w:kern w:val="0"/>
                <w:sz w:val="36"/>
                <w:szCs w:val="36"/>
                <w:lang w:bidi="ar"/>
              </w:rPr>
              <w:t>清单</w:t>
            </w:r>
          </w:p>
        </w:tc>
      </w:tr>
      <w:tr>
        <w:tblPrEx>
          <w:tblCellMar>
            <w:top w:w="15" w:type="dxa"/>
            <w:left w:w="15" w:type="dxa"/>
            <w:bottom w:w="15" w:type="dxa"/>
            <w:right w:w="15" w:type="dxa"/>
          </w:tblCellMar>
        </w:tblPrEx>
        <w:trPr>
          <w:gridAfter w:val="1"/>
          <w:wAfter w:w="387" w:type="dxa"/>
          <w:trHeight w:val="656" w:hRule="atLeast"/>
        </w:trPr>
        <w:tc>
          <w:tcPr>
            <w:tcW w:w="33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序号</w:t>
            </w:r>
          </w:p>
        </w:tc>
        <w:tc>
          <w:tcPr>
            <w:tcW w:w="77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eastAsia" w:asciiTheme="minorEastAsia" w:hAnsiTheme="minorEastAsia" w:eastAsiaTheme="minorEastAsia" w:cstheme="minorEastAsia"/>
                <w:color w:val="000000" w:themeColor="text1"/>
                <w:sz w:val="18"/>
                <w:szCs w:val="18"/>
                <w:highlight w:val="none"/>
                <w:shd w:val="clear" w:color="auto" w:fill="auto"/>
                <w:lang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危险源</w:t>
            </w:r>
          </w:p>
        </w:tc>
        <w:tc>
          <w:tcPr>
            <w:tcW w:w="54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位置</w:t>
            </w:r>
          </w:p>
        </w:tc>
        <w:tc>
          <w:tcPr>
            <w:tcW w:w="7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eastAsia" w:asciiTheme="minorEastAsia" w:hAnsiTheme="minorEastAsia" w:eastAsiaTheme="minorEastAsia" w:cstheme="minorEastAsia"/>
                <w:color w:val="000000" w:themeColor="text1"/>
                <w:sz w:val="18"/>
                <w:szCs w:val="18"/>
                <w:highlight w:val="none"/>
                <w:shd w:val="clear" w:color="auto" w:fill="auto"/>
                <w:lang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评价级别</w:t>
            </w:r>
          </w:p>
        </w:tc>
        <w:tc>
          <w:tcPr>
            <w:tcW w:w="90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主要</w:t>
            </w:r>
          </w:p>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后果</w:t>
            </w:r>
          </w:p>
        </w:tc>
        <w:tc>
          <w:tcPr>
            <w:tcW w:w="773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sz w:val="18"/>
                <w:szCs w:val="18"/>
                <w:highlight w:val="none"/>
                <w:shd w:val="clear" w:color="auto" w:fill="auto"/>
                <w:lang w:val="en-US" w:eastAsia="zh-CN"/>
                <w14:textFill>
                  <w14:solidFill>
                    <w14:schemeClr w14:val="tx1"/>
                  </w14:solidFill>
                </w14:textFill>
              </w:rPr>
              <w:t>风险描述</w:t>
            </w:r>
          </w:p>
        </w:tc>
        <w:tc>
          <w:tcPr>
            <w:tcW w:w="15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车间级管控责任人</w:t>
            </w:r>
          </w:p>
        </w:tc>
        <w:tc>
          <w:tcPr>
            <w:tcW w:w="15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部门级管控责任人</w:t>
            </w:r>
          </w:p>
        </w:tc>
        <w:tc>
          <w:tcPr>
            <w:tcW w:w="185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公司级管控责任人</w:t>
            </w:r>
          </w:p>
        </w:tc>
      </w:tr>
      <w:tr>
        <w:tblPrEx>
          <w:tblCellMar>
            <w:top w:w="15" w:type="dxa"/>
            <w:left w:w="15" w:type="dxa"/>
            <w:bottom w:w="15" w:type="dxa"/>
            <w:right w:w="15" w:type="dxa"/>
          </w:tblCellMar>
        </w:tblPrEx>
        <w:trPr>
          <w:gridAfter w:val="1"/>
          <w:wAfter w:w="387" w:type="dxa"/>
          <w:trHeight w:val="510" w:hRule="atLeast"/>
        </w:trPr>
        <w:tc>
          <w:tcPr>
            <w:tcW w:w="3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3</w:t>
            </w:r>
          </w:p>
        </w:tc>
        <w:tc>
          <w:tcPr>
            <w:tcW w:w="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脱硫脱碳</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bidi="ar"/>
                <w14:textFill>
                  <w14:solidFill>
                    <w14:schemeClr w14:val="tx1"/>
                  </w14:solidFill>
                </w14:textFill>
              </w:rPr>
              <w:t>净化合成</w:t>
            </w: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车间</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重大</w:t>
            </w:r>
          </w:p>
          <w:p>
            <w:pPr>
              <w:widowControl/>
              <w:jc w:val="center"/>
              <w:textAlignment w:val="cente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风险</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火灾</w:t>
            </w:r>
          </w:p>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爆炸</w:t>
            </w:r>
          </w:p>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中毒</w:t>
            </w:r>
          </w:p>
          <w:p>
            <w:pPr>
              <w:widowControl/>
              <w:numPr>
                <w:ilvl w:val="0"/>
                <w:numId w:val="0"/>
              </w:numPr>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环境污染</w:t>
            </w: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pP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1.</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压力表</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、液位</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计</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温度计</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等安全附件故障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2.操作工艺指标发生偏离，未及时调整</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3.机泵故障发生泄漏</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4.无关人员进入装置区内</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5.装置框架、基础、地面发生塌陷</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6.消防器材、应急器材缺失或失效</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7.安全阀故障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8.人体静电释放器、静电跨接失效，电气设备设施和控制系统供电故障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霍爱会</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9.可燃气体探测仪（甲醇）检测报警装置故障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10.视频监控系统故障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11.压力、液位等信息的不间断采集和监测系统、自动控制系统、联锁系统故障或阀门（远程控制）故障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12.容器罐壁、人孔、法兰、管道发生泄漏</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13.检维修和特殊作业</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许令奇、郭勇</w:t>
            </w:r>
          </w:p>
        </w:tc>
      </w:tr>
    </w:tbl>
    <w:p>
      <w:pPr>
        <w:bidi w:val="0"/>
        <w:ind w:firstLine="513" w:firstLineChars="0"/>
        <w:jc w:val="left"/>
        <w:rPr>
          <w:rFonts w:asciiTheme="minorHAnsi" w:hAnsiTheme="minorHAnsi" w:eastAsiaTheme="minorEastAsia" w:cstheme="minorBidi"/>
          <w:kern w:val="2"/>
          <w:sz w:val="21"/>
          <w:szCs w:val="24"/>
          <w:lang w:val="en-US" w:eastAsia="zh-CN" w:bidi="ar-SA"/>
        </w:rPr>
      </w:pPr>
    </w:p>
    <w:p>
      <w:pPr>
        <w:bidi w:val="0"/>
        <w:jc w:val="left"/>
        <w:rPr>
          <w:rFonts w:asciiTheme="minorHAnsi" w:hAnsiTheme="minorHAnsi" w:eastAsiaTheme="minorEastAsia" w:cstheme="minorBidi"/>
          <w:kern w:val="2"/>
          <w:sz w:val="21"/>
          <w:szCs w:val="24"/>
          <w:lang w:val="en-US" w:eastAsia="zh-CN" w:bidi="ar-SA"/>
        </w:rPr>
      </w:pPr>
    </w:p>
    <w:tbl>
      <w:tblPr>
        <w:tblStyle w:val="6"/>
        <w:tblW w:w="16400" w:type="dxa"/>
        <w:tblInd w:w="-1222" w:type="dxa"/>
        <w:tblLayout w:type="fixed"/>
        <w:tblCellMar>
          <w:top w:w="15" w:type="dxa"/>
          <w:left w:w="15" w:type="dxa"/>
          <w:bottom w:w="15" w:type="dxa"/>
          <w:right w:w="15" w:type="dxa"/>
        </w:tblCellMar>
      </w:tblPr>
      <w:tblGrid>
        <w:gridCol w:w="334"/>
        <w:gridCol w:w="776"/>
        <w:gridCol w:w="540"/>
        <w:gridCol w:w="750"/>
        <w:gridCol w:w="900"/>
        <w:gridCol w:w="7733"/>
        <w:gridCol w:w="1575"/>
        <w:gridCol w:w="1550"/>
        <w:gridCol w:w="1855"/>
        <w:gridCol w:w="387"/>
      </w:tblGrid>
      <w:tr>
        <w:tblPrEx>
          <w:tblCellMar>
            <w:top w:w="15" w:type="dxa"/>
            <w:left w:w="15" w:type="dxa"/>
            <w:bottom w:w="15" w:type="dxa"/>
            <w:right w:w="15" w:type="dxa"/>
          </w:tblCellMar>
        </w:tblPrEx>
        <w:trPr>
          <w:trHeight w:val="196" w:hRule="atLeast"/>
        </w:trPr>
        <w:tc>
          <w:tcPr>
            <w:tcW w:w="16400" w:type="dxa"/>
            <w:gridSpan w:val="10"/>
            <w:shd w:val="clear" w:color="auto" w:fill="auto"/>
            <w:vAlign w:val="center"/>
          </w:tcPr>
          <w:p>
            <w:pPr>
              <w:widowControl/>
              <w:jc w:val="center"/>
              <w:textAlignment w:val="center"/>
              <w:rPr>
                <w:rFonts w:asciiTheme="minorEastAsia" w:hAnsiTheme="minorEastAsia" w:cstheme="minorEastAsia"/>
                <w:b/>
                <w:color w:val="000000"/>
                <w:sz w:val="24"/>
              </w:rPr>
            </w:pPr>
            <w:r>
              <w:rPr>
                <w:rFonts w:hint="eastAsia" w:asciiTheme="minorEastAsia" w:hAnsiTheme="minorEastAsia" w:cstheme="minorEastAsia"/>
                <w:b/>
                <w:color w:val="000000"/>
                <w:kern w:val="0"/>
                <w:sz w:val="36"/>
                <w:szCs w:val="36"/>
                <w:lang w:bidi="ar"/>
              </w:rPr>
              <w:t>西北能化公司</w:t>
            </w:r>
            <w:r>
              <w:rPr>
                <w:rFonts w:hint="eastAsia" w:asciiTheme="minorEastAsia" w:hAnsiTheme="minorEastAsia" w:cstheme="minorEastAsia"/>
                <w:b/>
                <w:color w:val="000000"/>
                <w:kern w:val="0"/>
                <w:sz w:val="36"/>
                <w:szCs w:val="36"/>
                <w:lang w:val="en-US" w:eastAsia="zh-CN" w:bidi="ar"/>
              </w:rPr>
              <w:t>重大</w:t>
            </w:r>
            <w:r>
              <w:rPr>
                <w:rFonts w:hint="eastAsia" w:asciiTheme="minorEastAsia" w:hAnsiTheme="minorEastAsia" w:cstheme="minorEastAsia"/>
                <w:b/>
                <w:color w:val="000000"/>
                <w:kern w:val="0"/>
                <w:sz w:val="36"/>
                <w:szCs w:val="36"/>
                <w:lang w:bidi="ar"/>
              </w:rPr>
              <w:t>风险</w:t>
            </w:r>
            <w:r>
              <w:rPr>
                <w:rFonts w:hint="eastAsia" w:asciiTheme="minorEastAsia" w:hAnsiTheme="minorEastAsia" w:cstheme="minorEastAsia"/>
                <w:b/>
                <w:color w:val="000000"/>
                <w:kern w:val="0"/>
                <w:sz w:val="36"/>
                <w:szCs w:val="36"/>
                <w:lang w:val="en-US" w:eastAsia="zh-CN" w:bidi="ar"/>
              </w:rPr>
              <w:t>管控责任</w:t>
            </w:r>
            <w:r>
              <w:rPr>
                <w:rFonts w:hint="eastAsia" w:asciiTheme="minorEastAsia" w:hAnsiTheme="minorEastAsia" w:cstheme="minorEastAsia"/>
                <w:b/>
                <w:color w:val="000000"/>
                <w:kern w:val="0"/>
                <w:sz w:val="36"/>
                <w:szCs w:val="36"/>
                <w:lang w:bidi="ar"/>
              </w:rPr>
              <w:t>清单</w:t>
            </w:r>
          </w:p>
        </w:tc>
      </w:tr>
      <w:tr>
        <w:tblPrEx>
          <w:tblCellMar>
            <w:top w:w="15" w:type="dxa"/>
            <w:left w:w="15" w:type="dxa"/>
            <w:bottom w:w="15" w:type="dxa"/>
            <w:right w:w="15" w:type="dxa"/>
          </w:tblCellMar>
        </w:tblPrEx>
        <w:trPr>
          <w:gridAfter w:val="1"/>
          <w:wAfter w:w="387" w:type="dxa"/>
          <w:trHeight w:val="656" w:hRule="atLeast"/>
        </w:trPr>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序号</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asciiTheme="minorEastAsia" w:hAnsiTheme="minorEastAsia" w:eastAsiaTheme="minorEastAsia" w:cstheme="minorEastAsia"/>
                <w:color w:val="000000" w:themeColor="text1"/>
                <w:sz w:val="18"/>
                <w:szCs w:val="18"/>
                <w:highlight w:val="none"/>
                <w:shd w:val="clear" w:color="auto" w:fill="auto"/>
                <w:lang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危险源</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位置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asciiTheme="minorEastAsia" w:hAnsiTheme="minorEastAsia" w:eastAsiaTheme="minorEastAsia" w:cstheme="minorEastAsia"/>
                <w:color w:val="000000" w:themeColor="text1"/>
                <w:sz w:val="18"/>
                <w:szCs w:val="18"/>
                <w:highlight w:val="none"/>
                <w:shd w:val="clear" w:color="auto" w:fill="auto"/>
                <w:lang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评价级别</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主要</w:t>
            </w:r>
          </w:p>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后果</w:t>
            </w:r>
          </w:p>
        </w:tc>
        <w:tc>
          <w:tcPr>
            <w:tcW w:w="7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sz w:val="18"/>
                <w:szCs w:val="18"/>
                <w:highlight w:val="none"/>
                <w:shd w:val="clear" w:color="auto" w:fill="auto"/>
                <w:lang w:val="en-US" w:eastAsia="zh-CN"/>
                <w14:textFill>
                  <w14:solidFill>
                    <w14:schemeClr w14:val="tx1"/>
                  </w14:solidFill>
                </w14:textFill>
              </w:rPr>
              <w:t>风险描述</w:t>
            </w:r>
          </w:p>
        </w:tc>
        <w:tc>
          <w:tcPr>
            <w:tcW w:w="15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车间级管控责任人</w:t>
            </w:r>
          </w:p>
        </w:tc>
        <w:tc>
          <w:tcPr>
            <w:tcW w:w="15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部门级管控责任人</w:t>
            </w:r>
          </w:p>
        </w:tc>
        <w:tc>
          <w:tcPr>
            <w:tcW w:w="185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公司级管控责任人</w:t>
            </w:r>
          </w:p>
        </w:tc>
      </w:tr>
      <w:tr>
        <w:tblPrEx>
          <w:tblCellMar>
            <w:top w:w="15" w:type="dxa"/>
            <w:left w:w="15" w:type="dxa"/>
            <w:bottom w:w="15" w:type="dxa"/>
            <w:right w:w="15" w:type="dxa"/>
          </w:tblCellMar>
        </w:tblPrEx>
        <w:trPr>
          <w:gridAfter w:val="1"/>
          <w:wAfter w:w="387" w:type="dxa"/>
          <w:trHeight w:val="510" w:hRule="atLeast"/>
        </w:trPr>
        <w:tc>
          <w:tcPr>
            <w:tcW w:w="33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4</w:t>
            </w:r>
          </w:p>
        </w:tc>
        <w:tc>
          <w:tcPr>
            <w:tcW w:w="776"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氨冰机</w:t>
            </w:r>
          </w:p>
        </w:tc>
        <w:tc>
          <w:tcPr>
            <w:tcW w:w="54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bidi="ar"/>
                <w14:textFill>
                  <w14:solidFill>
                    <w14:schemeClr w14:val="tx1"/>
                  </w14:solidFill>
                </w14:textFill>
              </w:rPr>
              <w:t>净化合成</w:t>
            </w: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车间</w:t>
            </w:r>
          </w:p>
        </w:tc>
        <w:tc>
          <w:tcPr>
            <w:tcW w:w="75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重大</w:t>
            </w:r>
          </w:p>
          <w:p>
            <w:pPr>
              <w:widowControl/>
              <w:jc w:val="center"/>
              <w:textAlignment w:val="cente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风险</w:t>
            </w:r>
          </w:p>
        </w:tc>
        <w:tc>
          <w:tcPr>
            <w:tcW w:w="900" w:type="dxa"/>
            <w:vMerge w:val="restart"/>
            <w:tcBorders>
              <w:top w:val="single" w:color="000000" w:sz="4" w:space="0"/>
              <w:left w:val="single" w:color="000000" w:sz="4" w:space="0"/>
              <w:right w:val="single" w:color="000000" w:sz="4" w:space="0"/>
            </w:tcBorders>
            <w:shd w:val="clear" w:color="auto" w:fill="auto"/>
            <w:vAlign w:val="center"/>
          </w:tcPr>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火灾</w:t>
            </w:r>
          </w:p>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爆炸</w:t>
            </w:r>
          </w:p>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中毒</w:t>
            </w:r>
          </w:p>
          <w:p>
            <w:pPr>
              <w:widowControl/>
              <w:numPr>
                <w:ilvl w:val="0"/>
                <w:numId w:val="0"/>
              </w:numPr>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环境污染</w:t>
            </w:r>
          </w:p>
        </w:tc>
        <w:tc>
          <w:tcPr>
            <w:tcW w:w="7733"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pP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1.</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压力表</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、液位</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计</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温度计</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等安全附件故障</w:t>
            </w:r>
          </w:p>
        </w:tc>
        <w:tc>
          <w:tcPr>
            <w:tcW w:w="15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000000" w:sz="4" w:space="0"/>
              <w:right w:val="single" w:color="000000" w:sz="4" w:space="0"/>
            </w:tcBorders>
            <w:shd w:val="clear" w:color="auto" w:fill="auto"/>
            <w:vAlign w:val="center"/>
          </w:tcPr>
          <w:p>
            <w:pPr>
              <w:widowControl/>
              <w:jc w:val="left"/>
              <w:textAlignment w:val="center"/>
            </w:pPr>
          </w:p>
        </w:tc>
        <w:tc>
          <w:tcPr>
            <w:tcW w:w="776" w:type="dxa"/>
            <w:vMerge w:val="continue"/>
            <w:tcBorders>
              <w:left w:val="single" w:color="000000" w:sz="4" w:space="0"/>
              <w:right w:val="single" w:color="000000" w:sz="4" w:space="0"/>
            </w:tcBorders>
            <w:shd w:val="clear" w:color="auto" w:fill="auto"/>
            <w:vAlign w:val="center"/>
          </w:tcPr>
          <w:p>
            <w:pPr>
              <w:widowControl/>
              <w:jc w:val="left"/>
              <w:textAlignment w:val="center"/>
            </w:pPr>
          </w:p>
        </w:tc>
        <w:tc>
          <w:tcPr>
            <w:tcW w:w="540" w:type="dxa"/>
            <w:vMerge w:val="continue"/>
            <w:tcBorders>
              <w:left w:val="single" w:color="000000" w:sz="4" w:space="0"/>
              <w:right w:val="single" w:color="000000" w:sz="4" w:space="0"/>
            </w:tcBorders>
            <w:shd w:val="clear" w:color="auto" w:fill="auto"/>
            <w:vAlign w:val="center"/>
          </w:tcPr>
          <w:p>
            <w:pPr>
              <w:widowControl/>
              <w:jc w:val="left"/>
              <w:textAlignment w:val="center"/>
            </w:pPr>
          </w:p>
        </w:tc>
        <w:tc>
          <w:tcPr>
            <w:tcW w:w="750" w:type="dxa"/>
            <w:vMerge w:val="continue"/>
            <w:tcBorders>
              <w:left w:val="single" w:color="000000" w:sz="4" w:space="0"/>
              <w:right w:val="single" w:color="000000" w:sz="4" w:space="0"/>
            </w:tcBorders>
            <w:shd w:val="clear" w:color="auto" w:fill="auto"/>
            <w:vAlign w:val="center"/>
          </w:tcPr>
          <w:p>
            <w:pPr>
              <w:widowControl/>
              <w:jc w:val="left"/>
              <w:textAlignment w:val="center"/>
            </w:pPr>
          </w:p>
        </w:tc>
        <w:tc>
          <w:tcPr>
            <w:tcW w:w="900" w:type="dxa"/>
            <w:vMerge w:val="continue"/>
            <w:tcBorders>
              <w:left w:val="single" w:color="000000" w:sz="4" w:space="0"/>
              <w:right w:val="single" w:color="000000" w:sz="4" w:space="0"/>
            </w:tcBorders>
            <w:shd w:val="clear" w:color="auto" w:fill="auto"/>
            <w:vAlign w:val="center"/>
          </w:tcPr>
          <w:p>
            <w:pPr>
              <w:widowControl/>
              <w:jc w:val="left"/>
              <w:textAlignment w:val="center"/>
            </w:pPr>
          </w:p>
        </w:tc>
        <w:tc>
          <w:tcPr>
            <w:tcW w:w="7733"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2.消防器材、应急器材缺失或失效</w:t>
            </w:r>
          </w:p>
        </w:tc>
        <w:tc>
          <w:tcPr>
            <w:tcW w:w="15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3.装置框架、基础、地面发生塌陷</w:t>
            </w:r>
          </w:p>
        </w:tc>
        <w:tc>
          <w:tcPr>
            <w:tcW w:w="15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4.操作工艺指标发生偏离，未及时调整</w:t>
            </w:r>
          </w:p>
        </w:tc>
        <w:tc>
          <w:tcPr>
            <w:tcW w:w="15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5.无关人员进入装置区内</w:t>
            </w:r>
          </w:p>
        </w:tc>
        <w:tc>
          <w:tcPr>
            <w:tcW w:w="15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6.紧急停车系统故障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7.机泵故障发生泄漏</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8.人体静电释放器、静电跨接失效，电气设备设施和控制系统供电故障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霍爱会</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9.有毒气体（氨气）检测报警装置故障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10.视频监控系统故障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11.压力、液位等信息的不间断采集和监测系统、自动控制系统、联锁系统故障或阀门（远程控制）故障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000000"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12.容器罐壁、人孔、法兰、管道发生泄漏</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13.检维修和特殊作业</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陈四华</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许令奇、郭勇</w:t>
            </w:r>
          </w:p>
        </w:tc>
      </w:tr>
    </w:tbl>
    <w:p>
      <w:pPr>
        <w:bidi w:val="0"/>
        <w:ind w:firstLine="513" w:firstLineChars="0"/>
        <w:jc w:val="left"/>
        <w:rPr>
          <w:rFonts w:asciiTheme="minorHAnsi" w:hAnsiTheme="minorHAnsi" w:eastAsiaTheme="minorEastAsia" w:cstheme="minorBidi"/>
          <w:kern w:val="2"/>
          <w:sz w:val="21"/>
          <w:szCs w:val="24"/>
          <w:lang w:val="en-US" w:eastAsia="zh-CN" w:bidi="ar-SA"/>
        </w:rPr>
      </w:pPr>
    </w:p>
    <w:p>
      <w:pPr>
        <w:bidi w:val="0"/>
        <w:jc w:val="left"/>
        <w:rPr>
          <w:rFonts w:asciiTheme="minorHAnsi" w:hAnsiTheme="minorHAnsi" w:eastAsiaTheme="minorEastAsia" w:cstheme="minorBidi"/>
          <w:kern w:val="2"/>
          <w:sz w:val="21"/>
          <w:szCs w:val="24"/>
          <w:lang w:val="en-US" w:eastAsia="zh-CN" w:bidi="ar-SA"/>
        </w:rPr>
      </w:pPr>
    </w:p>
    <w:tbl>
      <w:tblPr>
        <w:tblStyle w:val="6"/>
        <w:tblW w:w="16400" w:type="dxa"/>
        <w:tblInd w:w="-1222" w:type="dxa"/>
        <w:tblLayout w:type="fixed"/>
        <w:tblCellMar>
          <w:top w:w="15" w:type="dxa"/>
          <w:left w:w="15" w:type="dxa"/>
          <w:bottom w:w="15" w:type="dxa"/>
          <w:right w:w="15" w:type="dxa"/>
        </w:tblCellMar>
      </w:tblPr>
      <w:tblGrid>
        <w:gridCol w:w="334"/>
        <w:gridCol w:w="776"/>
        <w:gridCol w:w="540"/>
        <w:gridCol w:w="750"/>
        <w:gridCol w:w="900"/>
        <w:gridCol w:w="7733"/>
        <w:gridCol w:w="1575"/>
        <w:gridCol w:w="1550"/>
        <w:gridCol w:w="1855"/>
        <w:gridCol w:w="387"/>
      </w:tblGrid>
      <w:tr>
        <w:tblPrEx>
          <w:tblCellMar>
            <w:top w:w="15" w:type="dxa"/>
            <w:left w:w="15" w:type="dxa"/>
            <w:bottom w:w="15" w:type="dxa"/>
            <w:right w:w="15" w:type="dxa"/>
          </w:tblCellMar>
        </w:tblPrEx>
        <w:trPr>
          <w:trHeight w:val="196" w:hRule="atLeast"/>
        </w:trPr>
        <w:tc>
          <w:tcPr>
            <w:tcW w:w="16400" w:type="dxa"/>
            <w:gridSpan w:val="10"/>
            <w:shd w:val="clear" w:color="auto" w:fill="auto"/>
            <w:vAlign w:val="center"/>
          </w:tcPr>
          <w:p>
            <w:pPr>
              <w:widowControl/>
              <w:jc w:val="center"/>
              <w:textAlignment w:val="center"/>
              <w:rPr>
                <w:rFonts w:asciiTheme="minorEastAsia" w:hAnsiTheme="minorEastAsia" w:cstheme="minorEastAsia"/>
                <w:b/>
                <w:color w:val="000000"/>
                <w:sz w:val="24"/>
              </w:rPr>
            </w:pPr>
            <w:r>
              <w:rPr>
                <w:rFonts w:hint="eastAsia" w:asciiTheme="minorEastAsia" w:hAnsiTheme="minorEastAsia" w:cstheme="minorEastAsia"/>
                <w:b/>
                <w:color w:val="000000"/>
                <w:kern w:val="0"/>
                <w:sz w:val="36"/>
                <w:szCs w:val="36"/>
                <w:lang w:bidi="ar"/>
              </w:rPr>
              <w:t>西北能化公司</w:t>
            </w:r>
            <w:r>
              <w:rPr>
                <w:rFonts w:hint="eastAsia" w:asciiTheme="minorEastAsia" w:hAnsiTheme="minorEastAsia" w:cstheme="minorEastAsia"/>
                <w:b/>
                <w:color w:val="000000"/>
                <w:kern w:val="0"/>
                <w:sz w:val="36"/>
                <w:szCs w:val="36"/>
                <w:lang w:val="en-US" w:eastAsia="zh-CN" w:bidi="ar"/>
              </w:rPr>
              <w:t>重大</w:t>
            </w:r>
            <w:r>
              <w:rPr>
                <w:rFonts w:hint="eastAsia" w:asciiTheme="minorEastAsia" w:hAnsiTheme="minorEastAsia" w:cstheme="minorEastAsia"/>
                <w:b/>
                <w:color w:val="000000"/>
                <w:kern w:val="0"/>
                <w:sz w:val="36"/>
                <w:szCs w:val="36"/>
                <w:lang w:bidi="ar"/>
              </w:rPr>
              <w:t>风险</w:t>
            </w:r>
            <w:r>
              <w:rPr>
                <w:rFonts w:hint="eastAsia" w:asciiTheme="minorEastAsia" w:hAnsiTheme="minorEastAsia" w:cstheme="minorEastAsia"/>
                <w:b/>
                <w:color w:val="000000"/>
                <w:kern w:val="0"/>
                <w:sz w:val="36"/>
                <w:szCs w:val="36"/>
                <w:lang w:val="en-US" w:eastAsia="zh-CN" w:bidi="ar"/>
              </w:rPr>
              <w:t>管控责任</w:t>
            </w:r>
            <w:r>
              <w:rPr>
                <w:rFonts w:hint="eastAsia" w:asciiTheme="minorEastAsia" w:hAnsiTheme="minorEastAsia" w:cstheme="minorEastAsia"/>
                <w:b/>
                <w:color w:val="000000"/>
                <w:kern w:val="0"/>
                <w:sz w:val="36"/>
                <w:szCs w:val="36"/>
                <w:lang w:bidi="ar"/>
              </w:rPr>
              <w:t>清单</w:t>
            </w:r>
          </w:p>
        </w:tc>
      </w:tr>
      <w:tr>
        <w:tblPrEx>
          <w:tblCellMar>
            <w:top w:w="15" w:type="dxa"/>
            <w:left w:w="15" w:type="dxa"/>
            <w:bottom w:w="15" w:type="dxa"/>
            <w:right w:w="15" w:type="dxa"/>
          </w:tblCellMar>
        </w:tblPrEx>
        <w:trPr>
          <w:gridAfter w:val="1"/>
          <w:wAfter w:w="387" w:type="dxa"/>
          <w:trHeight w:val="656" w:hRule="atLeast"/>
        </w:trPr>
        <w:tc>
          <w:tcPr>
            <w:tcW w:w="33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序号</w:t>
            </w:r>
          </w:p>
        </w:tc>
        <w:tc>
          <w:tcPr>
            <w:tcW w:w="77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eastAsia" w:asciiTheme="minorEastAsia" w:hAnsiTheme="minorEastAsia" w:eastAsiaTheme="minorEastAsia" w:cstheme="minorEastAsia"/>
                <w:color w:val="000000" w:themeColor="text1"/>
                <w:sz w:val="18"/>
                <w:szCs w:val="18"/>
                <w:highlight w:val="none"/>
                <w:shd w:val="clear" w:color="auto" w:fill="auto"/>
                <w:lang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危险源</w:t>
            </w:r>
          </w:p>
        </w:tc>
        <w:tc>
          <w:tcPr>
            <w:tcW w:w="54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位置</w:t>
            </w:r>
          </w:p>
        </w:tc>
        <w:tc>
          <w:tcPr>
            <w:tcW w:w="7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eastAsia" w:asciiTheme="minorEastAsia" w:hAnsiTheme="minorEastAsia" w:eastAsiaTheme="minorEastAsia" w:cstheme="minorEastAsia"/>
                <w:color w:val="000000" w:themeColor="text1"/>
                <w:sz w:val="18"/>
                <w:szCs w:val="18"/>
                <w:highlight w:val="none"/>
                <w:shd w:val="clear" w:color="auto" w:fill="auto"/>
                <w:lang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评价级别</w:t>
            </w:r>
          </w:p>
        </w:tc>
        <w:tc>
          <w:tcPr>
            <w:tcW w:w="90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主要</w:t>
            </w:r>
          </w:p>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后果</w:t>
            </w:r>
          </w:p>
        </w:tc>
        <w:tc>
          <w:tcPr>
            <w:tcW w:w="7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sz w:val="18"/>
                <w:szCs w:val="18"/>
                <w:highlight w:val="none"/>
                <w:shd w:val="clear" w:color="auto" w:fill="auto"/>
                <w:lang w:val="en-US" w:eastAsia="zh-CN"/>
                <w14:textFill>
                  <w14:solidFill>
                    <w14:schemeClr w14:val="tx1"/>
                  </w14:solidFill>
                </w14:textFill>
              </w:rPr>
              <w:t>风险描述</w:t>
            </w:r>
          </w:p>
        </w:tc>
        <w:tc>
          <w:tcPr>
            <w:tcW w:w="15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车间级管控责任人</w:t>
            </w:r>
          </w:p>
        </w:tc>
        <w:tc>
          <w:tcPr>
            <w:tcW w:w="15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部门级管控责任人</w:t>
            </w:r>
          </w:p>
        </w:tc>
        <w:tc>
          <w:tcPr>
            <w:tcW w:w="185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公司级管控责任人</w:t>
            </w:r>
          </w:p>
        </w:tc>
      </w:tr>
      <w:tr>
        <w:tblPrEx>
          <w:tblCellMar>
            <w:top w:w="15" w:type="dxa"/>
            <w:left w:w="15" w:type="dxa"/>
            <w:bottom w:w="15" w:type="dxa"/>
            <w:right w:w="15" w:type="dxa"/>
          </w:tblCellMar>
        </w:tblPrEx>
        <w:trPr>
          <w:gridAfter w:val="1"/>
          <w:wAfter w:w="387" w:type="dxa"/>
          <w:trHeight w:val="510" w:hRule="atLeast"/>
        </w:trPr>
        <w:tc>
          <w:tcPr>
            <w:tcW w:w="3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5</w:t>
            </w:r>
          </w:p>
        </w:tc>
        <w:tc>
          <w:tcPr>
            <w:tcW w:w="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液氨罐区</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动力车间</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重大</w:t>
            </w:r>
          </w:p>
          <w:p>
            <w:pPr>
              <w:widowControl/>
              <w:jc w:val="center"/>
              <w:textAlignment w:val="cente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风险</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火灾</w:t>
            </w:r>
          </w:p>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爆炸</w:t>
            </w:r>
          </w:p>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中毒</w:t>
            </w:r>
          </w:p>
          <w:p>
            <w:pPr>
              <w:widowControl/>
              <w:numPr>
                <w:ilvl w:val="0"/>
                <w:numId w:val="0"/>
              </w:numPr>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环境污染</w:t>
            </w:r>
          </w:p>
        </w:tc>
        <w:tc>
          <w:tcPr>
            <w:tcW w:w="7733"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pP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1.安全阀、</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压力表</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、液位</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计</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温度计</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等安全附件故障</w:t>
            </w:r>
          </w:p>
        </w:tc>
        <w:tc>
          <w:tcPr>
            <w:tcW w:w="15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Chars="0"/>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胡振宁</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Chars="0"/>
              <w:jc w:val="center"/>
              <w:textAlignment w:val="center"/>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Chars="0"/>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textAlignment w:val="center"/>
            </w:pPr>
          </w:p>
        </w:tc>
        <w:tc>
          <w:tcPr>
            <w:tcW w:w="77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pPr>
          </w:p>
        </w:tc>
        <w:tc>
          <w:tcPr>
            <w:tcW w:w="7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pPr>
          </w:p>
        </w:tc>
        <w:tc>
          <w:tcPr>
            <w:tcW w:w="90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left"/>
              <w:textAlignment w:val="center"/>
            </w:pPr>
          </w:p>
        </w:tc>
        <w:tc>
          <w:tcPr>
            <w:tcW w:w="7733"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2.消防喷淋系统故障、消防器材、应急器材缺失或失效</w:t>
            </w:r>
          </w:p>
        </w:tc>
        <w:tc>
          <w:tcPr>
            <w:tcW w:w="15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胡振宁</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3.储罐氮封系统故障</w:t>
            </w:r>
          </w:p>
        </w:tc>
        <w:tc>
          <w:tcPr>
            <w:tcW w:w="15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胡振宁</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4.罐区基础、地面、墙壁发生塌陷</w:t>
            </w:r>
          </w:p>
        </w:tc>
        <w:tc>
          <w:tcPr>
            <w:tcW w:w="15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胡振宁</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5.无关人进入罐区</w:t>
            </w:r>
          </w:p>
        </w:tc>
        <w:tc>
          <w:tcPr>
            <w:tcW w:w="1575"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胡振宁</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6.液氨装卸作业</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胡振宁</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7.人体静电释放器、静电跨接失效，电气设备设施和控制系统供电故障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霍爱会</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8.有毒气体（氨气）检测报警装置故障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9.视频监控系统故障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10.阀门（远程控制）、自动控制系统故障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11.压力、液位等信息的不间断采集和监测系统与紧急自动切断系统故障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12.储罐罐壁、人孔、法兰、管道出现漏点，发生泄漏</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胡振宁</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13.检维修和特殊作业</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胡振宁</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许令奇、郭勇</w:t>
            </w:r>
          </w:p>
        </w:tc>
      </w:tr>
      <w:tr>
        <w:tblPrEx>
          <w:tblCellMar>
            <w:top w:w="15" w:type="dxa"/>
            <w:left w:w="15" w:type="dxa"/>
            <w:bottom w:w="15" w:type="dxa"/>
            <w:right w:w="15" w:type="dxa"/>
          </w:tblCellMar>
        </w:tblPrEx>
        <w:trPr>
          <w:trHeight w:val="196" w:hRule="atLeast"/>
        </w:trPr>
        <w:tc>
          <w:tcPr>
            <w:tcW w:w="16400" w:type="dxa"/>
            <w:gridSpan w:val="10"/>
            <w:shd w:val="clear" w:color="auto" w:fill="auto"/>
            <w:vAlign w:val="center"/>
          </w:tcPr>
          <w:p>
            <w:pPr>
              <w:widowControl/>
              <w:jc w:val="center"/>
              <w:textAlignment w:val="center"/>
              <w:rPr>
                <w:rFonts w:asciiTheme="minorEastAsia" w:hAnsiTheme="minorEastAsia" w:cstheme="minorEastAsia"/>
                <w:b/>
                <w:color w:val="000000"/>
                <w:sz w:val="24"/>
              </w:rPr>
            </w:pPr>
            <w:r>
              <w:rPr>
                <w:rFonts w:hint="eastAsia" w:asciiTheme="minorEastAsia" w:hAnsiTheme="minorEastAsia" w:cstheme="minorEastAsia"/>
                <w:b/>
                <w:color w:val="000000"/>
                <w:kern w:val="0"/>
                <w:sz w:val="36"/>
                <w:szCs w:val="36"/>
                <w:lang w:bidi="ar"/>
              </w:rPr>
              <w:t>西北能化公司</w:t>
            </w:r>
            <w:r>
              <w:rPr>
                <w:rFonts w:hint="eastAsia" w:asciiTheme="minorEastAsia" w:hAnsiTheme="minorEastAsia" w:cstheme="minorEastAsia"/>
                <w:b/>
                <w:color w:val="000000"/>
                <w:kern w:val="0"/>
                <w:sz w:val="36"/>
                <w:szCs w:val="36"/>
                <w:lang w:val="en-US" w:eastAsia="zh-CN" w:bidi="ar"/>
              </w:rPr>
              <w:t>重大</w:t>
            </w:r>
            <w:r>
              <w:rPr>
                <w:rFonts w:hint="eastAsia" w:asciiTheme="minorEastAsia" w:hAnsiTheme="minorEastAsia" w:cstheme="minorEastAsia"/>
                <w:b/>
                <w:color w:val="000000"/>
                <w:kern w:val="0"/>
                <w:sz w:val="36"/>
                <w:szCs w:val="36"/>
                <w:lang w:bidi="ar"/>
              </w:rPr>
              <w:t>风险</w:t>
            </w:r>
            <w:r>
              <w:rPr>
                <w:rFonts w:hint="eastAsia" w:asciiTheme="minorEastAsia" w:hAnsiTheme="minorEastAsia" w:cstheme="minorEastAsia"/>
                <w:b/>
                <w:color w:val="000000"/>
                <w:kern w:val="0"/>
                <w:sz w:val="36"/>
                <w:szCs w:val="36"/>
                <w:lang w:val="en-US" w:eastAsia="zh-CN" w:bidi="ar"/>
              </w:rPr>
              <w:t>管控责任</w:t>
            </w:r>
            <w:r>
              <w:rPr>
                <w:rFonts w:hint="eastAsia" w:asciiTheme="minorEastAsia" w:hAnsiTheme="minorEastAsia" w:cstheme="minorEastAsia"/>
                <w:b/>
                <w:color w:val="000000"/>
                <w:kern w:val="0"/>
                <w:sz w:val="36"/>
                <w:szCs w:val="36"/>
                <w:lang w:bidi="ar"/>
              </w:rPr>
              <w:t>清单</w:t>
            </w:r>
          </w:p>
        </w:tc>
      </w:tr>
      <w:tr>
        <w:tblPrEx>
          <w:tblCellMar>
            <w:top w:w="15" w:type="dxa"/>
            <w:left w:w="15" w:type="dxa"/>
            <w:bottom w:w="15" w:type="dxa"/>
            <w:right w:w="15" w:type="dxa"/>
          </w:tblCellMar>
        </w:tblPrEx>
        <w:trPr>
          <w:gridAfter w:val="1"/>
          <w:wAfter w:w="387" w:type="dxa"/>
          <w:trHeight w:val="656" w:hRule="atLeast"/>
        </w:trPr>
        <w:tc>
          <w:tcPr>
            <w:tcW w:w="33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序号</w:t>
            </w:r>
          </w:p>
        </w:tc>
        <w:tc>
          <w:tcPr>
            <w:tcW w:w="77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危险作业活动</w:t>
            </w:r>
          </w:p>
        </w:tc>
        <w:tc>
          <w:tcPr>
            <w:tcW w:w="54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位置</w:t>
            </w:r>
          </w:p>
        </w:tc>
        <w:tc>
          <w:tcPr>
            <w:tcW w:w="7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eastAsia" w:asciiTheme="minorEastAsia" w:hAnsiTheme="minorEastAsia" w:eastAsiaTheme="minorEastAsia" w:cstheme="minorEastAsia"/>
                <w:color w:val="000000" w:themeColor="text1"/>
                <w:sz w:val="18"/>
                <w:szCs w:val="18"/>
                <w:highlight w:val="none"/>
                <w:shd w:val="clear" w:color="auto" w:fill="auto"/>
                <w:lang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评价级别</w:t>
            </w:r>
          </w:p>
        </w:tc>
        <w:tc>
          <w:tcPr>
            <w:tcW w:w="90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主要</w:t>
            </w:r>
          </w:p>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后果</w:t>
            </w:r>
          </w:p>
        </w:tc>
        <w:tc>
          <w:tcPr>
            <w:tcW w:w="773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sz w:val="18"/>
                <w:szCs w:val="18"/>
                <w:highlight w:val="none"/>
                <w:shd w:val="clear" w:color="auto" w:fill="auto"/>
                <w:lang w:val="en-US" w:eastAsia="zh-CN"/>
                <w14:textFill>
                  <w14:solidFill>
                    <w14:schemeClr w14:val="tx1"/>
                  </w14:solidFill>
                </w14:textFill>
              </w:rPr>
              <w:t>风险描述</w:t>
            </w:r>
          </w:p>
        </w:tc>
        <w:tc>
          <w:tcPr>
            <w:tcW w:w="15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车间级管控责任人</w:t>
            </w:r>
          </w:p>
        </w:tc>
        <w:tc>
          <w:tcPr>
            <w:tcW w:w="15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部门级管控责任人</w:t>
            </w:r>
          </w:p>
        </w:tc>
        <w:tc>
          <w:tcPr>
            <w:tcW w:w="185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公司级管控责任人</w:t>
            </w:r>
          </w:p>
        </w:tc>
      </w:tr>
      <w:tr>
        <w:tblPrEx>
          <w:tblCellMar>
            <w:top w:w="15" w:type="dxa"/>
            <w:left w:w="15" w:type="dxa"/>
            <w:bottom w:w="15" w:type="dxa"/>
            <w:right w:w="15" w:type="dxa"/>
          </w:tblCellMar>
        </w:tblPrEx>
        <w:trPr>
          <w:gridAfter w:val="1"/>
          <w:wAfter w:w="387" w:type="dxa"/>
          <w:trHeight w:val="510" w:hRule="atLeast"/>
        </w:trPr>
        <w:tc>
          <w:tcPr>
            <w:tcW w:w="334"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6</w:t>
            </w:r>
          </w:p>
        </w:tc>
        <w:tc>
          <w:tcPr>
            <w:tcW w:w="776"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气化炉投料作业</w:t>
            </w:r>
          </w:p>
        </w:tc>
        <w:tc>
          <w:tcPr>
            <w:tcW w:w="540"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气化车间</w:t>
            </w:r>
          </w:p>
        </w:tc>
        <w:tc>
          <w:tcPr>
            <w:tcW w:w="750"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重大</w:t>
            </w:r>
          </w:p>
          <w:p>
            <w:pPr>
              <w:widowControl/>
              <w:jc w:val="center"/>
              <w:textAlignment w:val="cente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风险</w:t>
            </w:r>
          </w:p>
        </w:tc>
        <w:tc>
          <w:tcPr>
            <w:tcW w:w="900" w:type="dxa"/>
            <w:vMerge w:val="restart"/>
            <w:tcBorders>
              <w:top w:val="single" w:color="auto" w:sz="4" w:space="0"/>
              <w:left w:val="single" w:color="auto" w:sz="4" w:space="0"/>
              <w:right w:val="single" w:color="auto" w:sz="4" w:space="0"/>
            </w:tcBorders>
            <w:shd w:val="clear" w:color="auto" w:fill="auto"/>
            <w:vAlign w:val="center"/>
          </w:tcPr>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火灾</w:t>
            </w:r>
          </w:p>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爆炸</w:t>
            </w:r>
          </w:p>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中毒</w:t>
            </w:r>
          </w:p>
          <w:p>
            <w:pPr>
              <w:widowControl/>
              <w:numPr>
                <w:ilvl w:val="0"/>
                <w:numId w:val="0"/>
              </w:numPr>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环境污染</w:t>
            </w: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pP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1.安全阀、</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压力表</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、液位</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计</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w:t>
            </w:r>
            <w:r>
              <w:rPr>
                <w:rFonts w:hint="default"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温度计</w:t>
            </w:r>
            <w: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t>等安全附件故障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Chars="0"/>
              <w:jc w:val="center"/>
              <w:textAlignment w:val="center"/>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韩涛</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Chars="0"/>
              <w:jc w:val="center"/>
              <w:textAlignment w:val="center"/>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Chars="0"/>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auto" w:sz="4" w:space="0"/>
              <w:right w:val="single" w:color="auto" w:sz="4" w:space="0"/>
            </w:tcBorders>
            <w:shd w:val="clear" w:color="auto" w:fill="auto"/>
            <w:vAlign w:val="center"/>
          </w:tcPr>
          <w:p>
            <w:pPr>
              <w:widowControl/>
              <w:jc w:val="left"/>
              <w:textAlignment w:val="center"/>
            </w:pPr>
          </w:p>
        </w:tc>
        <w:tc>
          <w:tcPr>
            <w:tcW w:w="776" w:type="dxa"/>
            <w:vMerge w:val="continue"/>
            <w:tcBorders>
              <w:left w:val="single" w:color="auto" w:sz="4" w:space="0"/>
              <w:right w:val="single" w:color="auto" w:sz="4" w:space="0"/>
            </w:tcBorders>
            <w:shd w:val="clear" w:color="auto" w:fill="auto"/>
            <w:vAlign w:val="center"/>
          </w:tcPr>
          <w:p>
            <w:pPr>
              <w:widowControl/>
              <w:jc w:val="left"/>
              <w:textAlignment w:val="center"/>
            </w:pPr>
          </w:p>
        </w:tc>
        <w:tc>
          <w:tcPr>
            <w:tcW w:w="540" w:type="dxa"/>
            <w:vMerge w:val="continue"/>
            <w:tcBorders>
              <w:left w:val="single" w:color="auto" w:sz="4" w:space="0"/>
              <w:right w:val="single" w:color="auto" w:sz="4" w:space="0"/>
            </w:tcBorders>
            <w:shd w:val="clear" w:color="auto" w:fill="auto"/>
            <w:vAlign w:val="center"/>
          </w:tcPr>
          <w:p>
            <w:pPr>
              <w:widowControl/>
              <w:jc w:val="left"/>
              <w:textAlignment w:val="center"/>
            </w:pPr>
          </w:p>
        </w:tc>
        <w:tc>
          <w:tcPr>
            <w:tcW w:w="750" w:type="dxa"/>
            <w:vMerge w:val="continue"/>
            <w:tcBorders>
              <w:left w:val="single" w:color="auto" w:sz="4" w:space="0"/>
              <w:right w:val="single" w:color="auto" w:sz="4" w:space="0"/>
            </w:tcBorders>
            <w:shd w:val="clear" w:color="auto" w:fill="auto"/>
            <w:vAlign w:val="center"/>
          </w:tcPr>
          <w:p>
            <w:pPr>
              <w:widowControl/>
              <w:jc w:val="left"/>
              <w:textAlignment w:val="center"/>
            </w:pPr>
          </w:p>
        </w:tc>
        <w:tc>
          <w:tcPr>
            <w:tcW w:w="900" w:type="dxa"/>
            <w:vMerge w:val="continue"/>
            <w:tcBorders>
              <w:left w:val="single" w:color="auto" w:sz="4" w:space="0"/>
              <w:right w:val="single" w:color="auto" w:sz="4" w:space="0"/>
            </w:tcBorders>
            <w:shd w:val="clear" w:color="auto" w:fill="auto"/>
            <w:vAlign w:val="center"/>
          </w:tcPr>
          <w:p>
            <w:pPr>
              <w:widowControl/>
              <w:jc w:val="left"/>
              <w:textAlignment w:val="cente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2.工艺操作方面（引氧速率太快、升压速率过快、氮气置换不合格、氧管脱脂吹扫不干净、导气速率过快、炉温不足）</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韩涛</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3.操作工艺指标发生偏离，未及时调整</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韩涛</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4.投料过程无关人员进入现场</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韩涛</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5.排水管线堵塞</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韩涛</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6.操作人员未严格执行操作规程、开车票制度</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韩涛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7.消防器材、应急器材缺失或失效</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韩涛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8.装置框架、基础、地面发生塌陷</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韩涛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9.阀门（远程控制）、自动控制系统、视频监控系统故障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10.压力、液位等信息的不间断采集和监测系统与紧急自动停车系统故障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11.人体静电释放器、静电跨接失效，电气设备设施和控制系统供电故障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霍爱会</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12.有毒、可燃气体报警装置故障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13.容器罐壁、人孔、法兰、管道发生泄漏</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韩涛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14.机泵故障发生泄漏</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韩涛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曹绪宏、卢军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许令奇、郭勇</w:t>
            </w:r>
          </w:p>
        </w:tc>
      </w:tr>
    </w:tbl>
    <w:p>
      <w:pPr>
        <w:bidi w:val="0"/>
        <w:jc w:val="left"/>
        <w:rPr>
          <w:lang w:val="en-US" w:eastAsia="zh-CN"/>
        </w:rPr>
      </w:pPr>
    </w:p>
    <w:tbl>
      <w:tblPr>
        <w:tblStyle w:val="6"/>
        <w:tblW w:w="16400" w:type="dxa"/>
        <w:tblInd w:w="-1222" w:type="dxa"/>
        <w:tblLayout w:type="fixed"/>
        <w:tblCellMar>
          <w:top w:w="15" w:type="dxa"/>
          <w:left w:w="15" w:type="dxa"/>
          <w:bottom w:w="15" w:type="dxa"/>
          <w:right w:w="15" w:type="dxa"/>
        </w:tblCellMar>
      </w:tblPr>
      <w:tblGrid>
        <w:gridCol w:w="334"/>
        <w:gridCol w:w="776"/>
        <w:gridCol w:w="540"/>
        <w:gridCol w:w="750"/>
        <w:gridCol w:w="900"/>
        <w:gridCol w:w="7733"/>
        <w:gridCol w:w="1575"/>
        <w:gridCol w:w="1550"/>
        <w:gridCol w:w="1855"/>
        <w:gridCol w:w="387"/>
      </w:tblGrid>
      <w:tr>
        <w:tblPrEx>
          <w:tblCellMar>
            <w:top w:w="15" w:type="dxa"/>
            <w:left w:w="15" w:type="dxa"/>
            <w:bottom w:w="15" w:type="dxa"/>
            <w:right w:w="15" w:type="dxa"/>
          </w:tblCellMar>
        </w:tblPrEx>
        <w:trPr>
          <w:trHeight w:val="196" w:hRule="atLeast"/>
        </w:trPr>
        <w:tc>
          <w:tcPr>
            <w:tcW w:w="16400" w:type="dxa"/>
            <w:gridSpan w:val="10"/>
            <w:shd w:val="clear" w:color="auto" w:fill="auto"/>
            <w:vAlign w:val="center"/>
          </w:tcPr>
          <w:p>
            <w:pPr>
              <w:widowControl/>
              <w:jc w:val="center"/>
              <w:textAlignment w:val="center"/>
              <w:rPr>
                <w:rFonts w:asciiTheme="minorEastAsia" w:hAnsiTheme="minorEastAsia" w:cstheme="minorEastAsia"/>
                <w:b/>
                <w:color w:val="000000"/>
                <w:sz w:val="24"/>
              </w:rPr>
            </w:pPr>
            <w:r>
              <w:rPr>
                <w:rFonts w:hint="eastAsia" w:asciiTheme="minorEastAsia" w:hAnsiTheme="minorEastAsia" w:cstheme="minorEastAsia"/>
                <w:b/>
                <w:color w:val="000000"/>
                <w:kern w:val="0"/>
                <w:sz w:val="36"/>
                <w:szCs w:val="36"/>
                <w:lang w:bidi="ar"/>
              </w:rPr>
              <w:t>西北能化公司</w:t>
            </w:r>
            <w:r>
              <w:rPr>
                <w:rFonts w:hint="eastAsia" w:asciiTheme="minorEastAsia" w:hAnsiTheme="minorEastAsia" w:cstheme="minorEastAsia"/>
                <w:b/>
                <w:color w:val="000000"/>
                <w:kern w:val="0"/>
                <w:sz w:val="36"/>
                <w:szCs w:val="36"/>
                <w:lang w:val="en-US" w:eastAsia="zh-CN" w:bidi="ar"/>
              </w:rPr>
              <w:t>重大</w:t>
            </w:r>
            <w:r>
              <w:rPr>
                <w:rFonts w:hint="eastAsia" w:asciiTheme="minorEastAsia" w:hAnsiTheme="minorEastAsia" w:cstheme="minorEastAsia"/>
                <w:b/>
                <w:color w:val="000000"/>
                <w:kern w:val="0"/>
                <w:sz w:val="36"/>
                <w:szCs w:val="36"/>
                <w:lang w:bidi="ar"/>
              </w:rPr>
              <w:t>风险</w:t>
            </w:r>
            <w:r>
              <w:rPr>
                <w:rFonts w:hint="eastAsia" w:asciiTheme="minorEastAsia" w:hAnsiTheme="minorEastAsia" w:cstheme="minorEastAsia"/>
                <w:b/>
                <w:color w:val="000000"/>
                <w:kern w:val="0"/>
                <w:sz w:val="36"/>
                <w:szCs w:val="36"/>
                <w:lang w:val="en-US" w:eastAsia="zh-CN" w:bidi="ar"/>
              </w:rPr>
              <w:t>管控责任</w:t>
            </w:r>
            <w:r>
              <w:rPr>
                <w:rFonts w:hint="eastAsia" w:asciiTheme="minorEastAsia" w:hAnsiTheme="minorEastAsia" w:cstheme="minorEastAsia"/>
                <w:b/>
                <w:color w:val="000000"/>
                <w:kern w:val="0"/>
                <w:sz w:val="36"/>
                <w:szCs w:val="36"/>
                <w:lang w:bidi="ar"/>
              </w:rPr>
              <w:t>清单</w:t>
            </w:r>
          </w:p>
        </w:tc>
      </w:tr>
      <w:tr>
        <w:tblPrEx>
          <w:tblCellMar>
            <w:top w:w="15" w:type="dxa"/>
            <w:left w:w="15" w:type="dxa"/>
            <w:bottom w:w="15" w:type="dxa"/>
            <w:right w:w="15" w:type="dxa"/>
          </w:tblCellMar>
        </w:tblPrEx>
        <w:trPr>
          <w:gridAfter w:val="1"/>
          <w:wAfter w:w="387" w:type="dxa"/>
          <w:trHeight w:val="656" w:hRule="atLeast"/>
        </w:trPr>
        <w:tc>
          <w:tcPr>
            <w:tcW w:w="33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序号</w:t>
            </w:r>
          </w:p>
        </w:tc>
        <w:tc>
          <w:tcPr>
            <w:tcW w:w="77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危险作业活动</w:t>
            </w:r>
          </w:p>
        </w:tc>
        <w:tc>
          <w:tcPr>
            <w:tcW w:w="54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位置</w:t>
            </w:r>
          </w:p>
        </w:tc>
        <w:tc>
          <w:tcPr>
            <w:tcW w:w="7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eastAsia" w:asciiTheme="minorEastAsia" w:hAnsiTheme="minorEastAsia" w:eastAsiaTheme="minorEastAsia" w:cstheme="minorEastAsia"/>
                <w:color w:val="000000" w:themeColor="text1"/>
                <w:sz w:val="18"/>
                <w:szCs w:val="18"/>
                <w:highlight w:val="none"/>
                <w:shd w:val="clear" w:color="auto" w:fill="auto"/>
                <w:lang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评价级别</w:t>
            </w:r>
          </w:p>
        </w:tc>
        <w:tc>
          <w:tcPr>
            <w:tcW w:w="90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主要</w:t>
            </w:r>
          </w:p>
          <w:p>
            <w:pPr>
              <w:widowControl/>
              <w:jc w:val="center"/>
              <w:textAlignment w:val="top"/>
              <w:rPr>
                <w:rFonts w:asciiTheme="minorEastAsia" w:hAnsiTheme="minorEastAsia" w:cstheme="minorEastAsia"/>
                <w:color w:val="000000" w:themeColor="text1"/>
                <w:sz w:val="18"/>
                <w:szCs w:val="18"/>
                <w:highlight w:val="none"/>
                <w:shd w:val="clear" w:color="auto" w:fill="auto"/>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bidi="ar"/>
                <w14:textFill>
                  <w14:solidFill>
                    <w14:schemeClr w14:val="tx1"/>
                  </w14:solidFill>
                </w14:textFill>
              </w:rPr>
              <w:t>后果</w:t>
            </w:r>
          </w:p>
        </w:tc>
        <w:tc>
          <w:tcPr>
            <w:tcW w:w="7733"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sz w:val="18"/>
                <w:szCs w:val="18"/>
                <w:highlight w:val="none"/>
                <w:shd w:val="clear" w:color="auto" w:fill="auto"/>
                <w:lang w:val="en-US" w:eastAsia="zh-CN"/>
                <w14:textFill>
                  <w14:solidFill>
                    <w14:schemeClr w14:val="tx1"/>
                  </w14:solidFill>
                </w14:textFill>
              </w:rPr>
              <w:t>风险描述</w:t>
            </w:r>
          </w:p>
        </w:tc>
        <w:tc>
          <w:tcPr>
            <w:tcW w:w="157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车间级管控责任人</w:t>
            </w:r>
          </w:p>
        </w:tc>
        <w:tc>
          <w:tcPr>
            <w:tcW w:w="15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部门级管控责任人</w:t>
            </w:r>
          </w:p>
        </w:tc>
        <w:tc>
          <w:tcPr>
            <w:tcW w:w="185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sz w:val="18"/>
                <w:szCs w:val="18"/>
                <w:highlight w:val="none"/>
                <w:shd w:val="clear" w:color="auto" w:fill="auto"/>
                <w:lang w:val="en-US" w:eastAsia="zh-CN"/>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公司级管控责任人</w:t>
            </w:r>
          </w:p>
        </w:tc>
      </w:tr>
      <w:tr>
        <w:tblPrEx>
          <w:tblCellMar>
            <w:top w:w="15" w:type="dxa"/>
            <w:left w:w="15" w:type="dxa"/>
            <w:bottom w:w="15" w:type="dxa"/>
            <w:right w:w="15" w:type="dxa"/>
          </w:tblCellMar>
        </w:tblPrEx>
        <w:trPr>
          <w:gridAfter w:val="1"/>
          <w:wAfter w:w="387" w:type="dxa"/>
          <w:trHeight w:val="510" w:hRule="atLeast"/>
        </w:trPr>
        <w:tc>
          <w:tcPr>
            <w:tcW w:w="3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themeColor="text1"/>
                <w:kern w:val="0"/>
                <w:sz w:val="18"/>
                <w:szCs w:val="18"/>
                <w:highlight w:val="none"/>
                <w:shd w:val="clear" w:color="auto" w:fill="auto"/>
                <w:lang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7</w:t>
            </w:r>
          </w:p>
        </w:tc>
        <w:tc>
          <w:tcPr>
            <w:tcW w:w="7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t>甲醇装车作业</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装车平台</w:t>
            </w:r>
          </w:p>
        </w:tc>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重大</w:t>
            </w:r>
          </w:p>
          <w:p>
            <w:pPr>
              <w:widowControl/>
              <w:jc w:val="center"/>
              <w:textAlignment w:val="center"/>
              <w:rPr>
                <w:rFonts w:hint="eastAsia" w:asciiTheme="minorEastAsia" w:hAnsiTheme="minorEastAsia" w:cstheme="minorEastAsia"/>
                <w:i w:val="0"/>
                <w:color w:val="000000" w:themeColor="text1"/>
                <w:kern w:val="0"/>
                <w:sz w:val="18"/>
                <w:szCs w:val="18"/>
                <w:highlight w:val="none"/>
                <w:u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风险</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火灾</w:t>
            </w:r>
          </w:p>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爆炸</w:t>
            </w:r>
          </w:p>
          <w:p>
            <w:pPr>
              <w:widowControl/>
              <w:numPr>
                <w:ilvl w:val="0"/>
                <w:numId w:val="0"/>
              </w:numPr>
              <w:jc w:val="center"/>
              <w:textAlignment w:val="cente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中毒</w:t>
            </w:r>
          </w:p>
          <w:p>
            <w:pPr>
              <w:widowControl/>
              <w:numPr>
                <w:ilvl w:val="0"/>
                <w:numId w:val="0"/>
              </w:numPr>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环境污染</w:t>
            </w: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1.装车操作人员未引导车辆按照行车路线行驶</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刘桂华</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eastAsiaTheme="minorEastAsia" w:cstheme="minorEastAsia"/>
                <w:color w:val="000000" w:themeColor="text1"/>
                <w:kern w:val="0"/>
                <w:sz w:val="18"/>
                <w:szCs w:val="18"/>
                <w:highlight w:val="none"/>
                <w:shd w:val="clear" w:color="auto" w:fill="auto"/>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2.操作人员未对车辆、人员进行安全检查</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刘桂华</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3.操作人员人员未执行装车操作规程</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刘桂华</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4.装卸区域内使用非防爆通讯器材</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刘桂华</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5.消防器材、应急器材缺失或失效</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刘桂华</w:t>
            </w:r>
          </w:p>
        </w:tc>
        <w:tc>
          <w:tcPr>
            <w:tcW w:w="155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6.汽车罐体、</w:t>
            </w:r>
            <w: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装卸口、管道</w:t>
            </w: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w:t>
            </w:r>
            <w: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法兰泄漏</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刘桂华</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7.装车操作平台、地面发生塌陷</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刘桂华</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余顺</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许令奇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8.可燃气体探测仪（甲醇）检测报警装置故障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9.视频监控系统故障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10.自动控制系统、紧急自动切断系统、车辆静电接地释放器故障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王涛</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11.人体静电释放器、静电跨接失效，电气设备设施和控制系统供电故障</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霍爱会</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郭勇</w:t>
            </w:r>
          </w:p>
        </w:tc>
      </w:tr>
      <w:tr>
        <w:tblPrEx>
          <w:tblCellMar>
            <w:top w:w="15" w:type="dxa"/>
            <w:left w:w="15" w:type="dxa"/>
            <w:bottom w:w="15" w:type="dxa"/>
            <w:right w:w="15" w:type="dxa"/>
          </w:tblCellMar>
        </w:tblPrEx>
        <w:trPr>
          <w:gridAfter w:val="1"/>
          <w:wAfter w:w="387" w:type="dxa"/>
          <w:trHeight w:val="510" w:hRule="atLeast"/>
        </w:trPr>
        <w:tc>
          <w:tcPr>
            <w:tcW w:w="3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p>
        </w:tc>
        <w:tc>
          <w:tcPr>
            <w:tcW w:w="77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12.机泵故障发生泄漏</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刘桂华</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余顺、卢军</w:t>
            </w:r>
          </w:p>
        </w:tc>
        <w:tc>
          <w:tcPr>
            <w:tcW w:w="1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0"/>
              </w:numPr>
              <w:ind w:left="0" w:leftChars="0" w:firstLine="0" w:firstLineChars="0"/>
              <w:jc w:val="center"/>
              <w:textAlignment w:val="center"/>
              <w:rPr>
                <w:rFonts w:hint="default"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pPr>
            <w:r>
              <w:rPr>
                <w:rFonts w:hint="eastAsia" w:asciiTheme="minorEastAsia" w:hAnsiTheme="minorEastAsia" w:cstheme="minorEastAsia"/>
                <w:color w:val="000000" w:themeColor="text1"/>
                <w:kern w:val="0"/>
                <w:sz w:val="18"/>
                <w:szCs w:val="18"/>
                <w:highlight w:val="none"/>
                <w:lang w:val="en-US" w:eastAsia="zh-CN" w:bidi="ar"/>
                <w14:textFill>
                  <w14:solidFill>
                    <w14:schemeClr w14:val="tx1"/>
                  </w14:solidFill>
                </w14:textFill>
              </w:rPr>
              <w:t>许令奇、郭勇</w:t>
            </w:r>
          </w:p>
        </w:tc>
      </w:tr>
    </w:tbl>
    <w:p>
      <w:pPr>
        <w:tabs>
          <w:tab w:val="left" w:pos="5438"/>
        </w:tabs>
        <w:bidi w:val="0"/>
        <w:ind w:firstLine="4160" w:firstLineChars="1300"/>
        <w:jc w:val="left"/>
        <w:rPr>
          <w:rFonts w:hint="default" w:ascii="仿宋_GB2312" w:hAnsi="仿宋_GB2312" w:eastAsia="仿宋_GB2312" w:cs="仿宋_GB2312"/>
          <w:b w:val="0"/>
          <w:bCs w:val="0"/>
          <w:sz w:val="32"/>
          <w:szCs w:val="32"/>
          <w:lang w:val="en-US" w:eastAsia="zh-CN"/>
        </w:rPr>
      </w:pPr>
    </w:p>
    <w:p>
      <w:pPr>
        <w:tabs>
          <w:tab w:val="left" w:pos="5438"/>
        </w:tabs>
        <w:bidi w:val="0"/>
        <w:ind w:firstLine="4160" w:firstLineChars="1300"/>
        <w:jc w:val="left"/>
        <w:rPr>
          <w:rFonts w:hint="default" w:ascii="仿宋_GB2312" w:hAnsi="仿宋_GB2312" w:eastAsia="仿宋_GB2312" w:cs="仿宋_GB2312"/>
          <w:b w:val="0"/>
          <w:bCs w:val="0"/>
          <w:sz w:val="32"/>
          <w:szCs w:val="32"/>
          <w:lang w:val="en-US" w:eastAsia="zh-CN"/>
        </w:rPr>
        <w:sectPr>
          <w:footerReference r:id="rId7" w:type="default"/>
          <w:pgSz w:w="16783" w:h="11850" w:orient="landscape"/>
          <w:pgMar w:top="1157" w:right="1803" w:bottom="1440" w:left="1701" w:header="851" w:footer="992" w:gutter="0"/>
          <w:pgNumType w:fmt="numberInDash"/>
          <w:cols w:space="0" w:num="1"/>
          <w:docGrid w:type="lines" w:linePitch="312" w:charSpace="0"/>
        </w:sectPr>
      </w:pPr>
    </w:p>
    <w:p>
      <w:pPr>
        <w:jc w:val="lef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附件二：</w:t>
      </w:r>
    </w:p>
    <w:p>
      <w:pPr>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西北能化公司风险分级管控作业指导书</w:t>
      </w:r>
    </w:p>
    <w:p>
      <w:pPr>
        <w:jc w:val="center"/>
        <w:rPr>
          <w:rFonts w:hint="eastAsia" w:ascii="仿宋_GB2312" w:hAnsi="仿宋_GB2312" w:eastAsia="仿宋_GB2312" w:cs="仿宋_GB2312"/>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一、范围</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本指导书规定了</w:t>
      </w:r>
      <w:r>
        <w:rPr>
          <w:rFonts w:hint="eastAsia" w:ascii="仿宋" w:hAnsi="仿宋" w:eastAsia="仿宋" w:cs="仿宋"/>
          <w:sz w:val="30"/>
          <w:szCs w:val="30"/>
          <w:lang w:val="en-US" w:eastAsia="zh-CN"/>
        </w:rPr>
        <w:t>鄂尔多斯市西北能化有限责任公司</w:t>
      </w:r>
      <w:r>
        <w:rPr>
          <w:rFonts w:hint="eastAsia" w:ascii="仿宋" w:hAnsi="仿宋" w:eastAsia="仿宋" w:cs="仿宋"/>
          <w:sz w:val="30"/>
          <w:szCs w:val="30"/>
        </w:rPr>
        <w:t>风险分级管控体系建设的基本要求。</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本指导书适用于指导</w:t>
      </w:r>
      <w:r>
        <w:rPr>
          <w:rFonts w:hint="eastAsia" w:ascii="仿宋" w:hAnsi="仿宋" w:eastAsia="仿宋" w:cs="仿宋"/>
          <w:sz w:val="30"/>
          <w:szCs w:val="30"/>
          <w:lang w:val="en-US" w:eastAsia="zh-CN"/>
        </w:rPr>
        <w:t>鄂尔多斯市西北能化</w:t>
      </w:r>
      <w:r>
        <w:rPr>
          <w:rFonts w:hint="eastAsia" w:ascii="仿宋" w:hAnsi="仿宋" w:eastAsia="仿宋" w:cs="仿宋"/>
          <w:sz w:val="30"/>
          <w:szCs w:val="30"/>
        </w:rPr>
        <w:t>有限</w:t>
      </w:r>
      <w:r>
        <w:rPr>
          <w:rFonts w:hint="eastAsia" w:ascii="仿宋" w:hAnsi="仿宋" w:eastAsia="仿宋" w:cs="仿宋"/>
          <w:sz w:val="30"/>
          <w:szCs w:val="30"/>
          <w:lang w:val="en-US" w:eastAsia="zh-CN"/>
        </w:rPr>
        <w:t>责任</w:t>
      </w:r>
      <w:r>
        <w:rPr>
          <w:rFonts w:hint="eastAsia" w:ascii="仿宋" w:hAnsi="仿宋" w:eastAsia="仿宋" w:cs="仿宋"/>
          <w:sz w:val="30"/>
          <w:szCs w:val="30"/>
        </w:rPr>
        <w:t>公司风险分级管控体系的开展。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二、引用文件</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《危险化学品企业安全风险隐患排查治理导则》（应急〔2019〕78号）</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《国务院安委会办公室关于实施遏制重特大事故工作指南构建双重预防机制的意见》（安委办〔2016〕11号）</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《危险化学品从业单位安全标准化通用规范》（AQ 3013-2008）</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《关于加强化工过程安全管理的知道意见》（安监总管三〔2013〕88号）</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《企业职工伤亡事故分类标准》（GB 6441-1986）</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《生产过程危险和有害因素分类与代码》（GB/T 13861-2009）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bCs/>
          <w:sz w:val="30"/>
          <w:szCs w:val="30"/>
          <w:lang w:val="en-US" w:eastAsia="zh-CN"/>
        </w:rPr>
      </w:pPr>
      <w:r>
        <w:rPr>
          <w:rFonts w:hint="eastAsia" w:ascii="黑体" w:hAnsi="黑体" w:eastAsia="黑体" w:cs="黑体"/>
          <w:b w:val="0"/>
          <w:bCs w:val="0"/>
          <w:sz w:val="32"/>
          <w:szCs w:val="32"/>
          <w:lang w:val="en-US" w:eastAsia="zh-CN"/>
        </w:rPr>
        <w:t>三、术语和定义</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仿宋" w:hAnsi="仿宋" w:eastAsia="仿宋" w:cs="仿宋"/>
          <w:sz w:val="30"/>
          <w:szCs w:val="30"/>
          <w:lang w:val="en-US" w:eastAsia="zh-CN"/>
        </w:rPr>
      </w:pPr>
      <w:r>
        <w:rPr>
          <w:rFonts w:hint="eastAsia" w:ascii="仿宋" w:hAnsi="仿宋" w:eastAsia="仿宋" w:cs="仿宋"/>
          <w:b/>
          <w:bCs/>
          <w:sz w:val="30"/>
          <w:szCs w:val="30"/>
          <w:lang w:val="en-US" w:eastAsia="zh-CN"/>
        </w:rPr>
        <w:t>（一）</w:t>
      </w:r>
      <w:r>
        <w:rPr>
          <w:rFonts w:hint="default" w:ascii="仿宋" w:hAnsi="仿宋" w:eastAsia="仿宋" w:cs="仿宋"/>
          <w:b/>
          <w:bCs/>
          <w:sz w:val="30"/>
          <w:szCs w:val="30"/>
          <w:lang w:val="en-US" w:eastAsia="zh-CN"/>
        </w:rPr>
        <w:t>风险</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生产安全事故或健康损害事件发生的可能性和严重性的组合。可能性，是指事故（事件）发生的概率。严重性，是指事故（事件）一旦发生后，将造成的人员伤害和经济损失的严重程度。风险=可能性×严重性。</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仿宋" w:hAnsi="仿宋" w:eastAsia="仿宋" w:cs="仿宋"/>
          <w:sz w:val="30"/>
          <w:szCs w:val="30"/>
          <w:lang w:val="en-US" w:eastAsia="zh-CN"/>
        </w:rPr>
      </w:pPr>
      <w:r>
        <w:rPr>
          <w:rFonts w:hint="eastAsia" w:ascii="仿宋" w:hAnsi="仿宋" w:eastAsia="仿宋" w:cs="仿宋"/>
          <w:b/>
          <w:bCs/>
          <w:sz w:val="30"/>
          <w:szCs w:val="30"/>
          <w:lang w:val="en-US" w:eastAsia="zh-CN"/>
        </w:rPr>
        <w:t>（二）</w:t>
      </w:r>
      <w:r>
        <w:rPr>
          <w:rFonts w:hint="default" w:ascii="仿宋" w:hAnsi="仿宋" w:eastAsia="仿宋" w:cs="仿宋"/>
          <w:b/>
          <w:bCs/>
          <w:sz w:val="30"/>
          <w:szCs w:val="30"/>
          <w:lang w:val="en-US" w:eastAsia="zh-CN"/>
        </w:rPr>
        <w:t>可接受风险</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根据企业法律义务和职业健康安全方针已被企业降至可容许程度的风险。</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仿宋" w:hAnsi="仿宋" w:eastAsia="仿宋" w:cs="仿宋"/>
          <w:sz w:val="30"/>
          <w:szCs w:val="30"/>
          <w:lang w:val="en-US" w:eastAsia="zh-CN"/>
        </w:rPr>
      </w:pPr>
      <w:r>
        <w:rPr>
          <w:rFonts w:hint="eastAsia" w:ascii="仿宋" w:hAnsi="仿宋" w:eastAsia="仿宋" w:cs="仿宋"/>
          <w:b/>
          <w:bCs/>
          <w:sz w:val="30"/>
          <w:szCs w:val="30"/>
          <w:lang w:val="en-US" w:eastAsia="zh-CN"/>
        </w:rPr>
        <w:t>（三）</w:t>
      </w:r>
      <w:r>
        <w:rPr>
          <w:rFonts w:hint="default" w:ascii="仿宋" w:hAnsi="仿宋" w:eastAsia="仿宋" w:cs="仿宋"/>
          <w:b/>
          <w:bCs/>
          <w:sz w:val="30"/>
          <w:szCs w:val="30"/>
          <w:lang w:val="en-US" w:eastAsia="zh-CN"/>
        </w:rPr>
        <w:t>重大风险</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发生事故可能性与事故后果二者结合后风险值被认定为重大的风险类型。</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仿宋" w:hAnsi="仿宋" w:eastAsia="仿宋" w:cs="仿宋"/>
          <w:sz w:val="30"/>
          <w:szCs w:val="30"/>
          <w:lang w:val="en-US" w:eastAsia="zh-CN"/>
        </w:rPr>
      </w:pPr>
      <w:r>
        <w:rPr>
          <w:rFonts w:hint="eastAsia" w:ascii="仿宋" w:hAnsi="仿宋" w:eastAsia="仿宋" w:cs="仿宋"/>
          <w:b/>
          <w:bCs/>
          <w:sz w:val="30"/>
          <w:szCs w:val="30"/>
          <w:lang w:val="en-US" w:eastAsia="zh-CN"/>
        </w:rPr>
        <w:t>（四）</w:t>
      </w:r>
      <w:r>
        <w:rPr>
          <w:rFonts w:hint="default" w:ascii="仿宋" w:hAnsi="仿宋" w:eastAsia="仿宋" w:cs="仿宋"/>
          <w:b/>
          <w:bCs/>
          <w:sz w:val="30"/>
          <w:szCs w:val="30"/>
          <w:lang w:val="en-US" w:eastAsia="zh-CN"/>
        </w:rPr>
        <w:t>危险源</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可能导致人身伤害和（或）健康损害和（或）财产损失的根源、状态或行为，或它们的组合。</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仿宋" w:hAnsi="仿宋" w:eastAsia="仿宋" w:cs="仿宋"/>
          <w:sz w:val="30"/>
          <w:szCs w:val="30"/>
          <w:lang w:val="en-US" w:eastAsia="zh-CN"/>
        </w:rPr>
      </w:pPr>
      <w:r>
        <w:rPr>
          <w:rFonts w:hint="eastAsia" w:ascii="仿宋" w:hAnsi="仿宋" w:eastAsia="仿宋" w:cs="仿宋"/>
          <w:b/>
          <w:bCs/>
          <w:sz w:val="30"/>
          <w:szCs w:val="30"/>
          <w:lang w:val="en-US" w:eastAsia="zh-CN"/>
        </w:rPr>
        <w:t>（五）</w:t>
      </w:r>
      <w:r>
        <w:rPr>
          <w:rFonts w:hint="default" w:ascii="仿宋" w:hAnsi="仿宋" w:eastAsia="仿宋" w:cs="仿宋"/>
          <w:b/>
          <w:bCs/>
          <w:sz w:val="30"/>
          <w:szCs w:val="30"/>
          <w:lang w:val="en-US" w:eastAsia="zh-CN"/>
        </w:rPr>
        <w:t>风险点</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风险伴随的设施、部位、场所和区域，以及在设施、部位、场所和区域实施的伴随风险的作业活动，或以上两者的组合。</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仿宋" w:hAnsi="仿宋" w:eastAsia="仿宋" w:cs="仿宋"/>
          <w:sz w:val="30"/>
          <w:szCs w:val="30"/>
          <w:lang w:val="en-US" w:eastAsia="zh-CN"/>
        </w:rPr>
      </w:pPr>
      <w:r>
        <w:rPr>
          <w:rFonts w:hint="eastAsia" w:ascii="仿宋" w:hAnsi="仿宋" w:eastAsia="仿宋" w:cs="仿宋"/>
          <w:b/>
          <w:bCs/>
          <w:sz w:val="30"/>
          <w:szCs w:val="30"/>
          <w:lang w:val="en-US" w:eastAsia="zh-CN"/>
        </w:rPr>
        <w:t>（六）</w:t>
      </w:r>
      <w:r>
        <w:rPr>
          <w:rFonts w:hint="default" w:ascii="仿宋" w:hAnsi="仿宋" w:eastAsia="仿宋" w:cs="仿宋"/>
          <w:b/>
          <w:bCs/>
          <w:sz w:val="30"/>
          <w:szCs w:val="30"/>
          <w:lang w:val="en-US" w:eastAsia="zh-CN"/>
        </w:rPr>
        <w:t>危险源辨识</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识别危险源的存在并确定其分布和特性的过程。</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仿宋" w:hAnsi="仿宋" w:eastAsia="仿宋" w:cs="仿宋"/>
          <w:sz w:val="30"/>
          <w:szCs w:val="30"/>
          <w:lang w:val="en-US" w:eastAsia="zh-CN"/>
        </w:rPr>
      </w:pPr>
      <w:r>
        <w:rPr>
          <w:rFonts w:hint="eastAsia" w:ascii="仿宋" w:hAnsi="仿宋" w:eastAsia="仿宋" w:cs="仿宋"/>
          <w:b/>
          <w:bCs/>
          <w:sz w:val="30"/>
          <w:szCs w:val="30"/>
          <w:lang w:val="en-US" w:eastAsia="zh-CN"/>
        </w:rPr>
        <w:t>（七）</w:t>
      </w:r>
      <w:r>
        <w:rPr>
          <w:rFonts w:hint="default" w:ascii="仿宋" w:hAnsi="仿宋" w:eastAsia="仿宋" w:cs="仿宋"/>
          <w:b/>
          <w:bCs/>
          <w:sz w:val="30"/>
          <w:szCs w:val="30"/>
          <w:lang w:val="en-US" w:eastAsia="zh-CN"/>
        </w:rPr>
        <w:t>风险评价</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对危险源导致的风险进行分析、评估、分级，对现有控制措施的充分性加以考虑，以及对风险是否可接受予以确定的过程。</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仿宋" w:hAnsi="仿宋" w:eastAsia="仿宋" w:cs="仿宋"/>
          <w:sz w:val="30"/>
          <w:szCs w:val="30"/>
          <w:lang w:val="en-US" w:eastAsia="zh-CN"/>
        </w:rPr>
      </w:pPr>
      <w:r>
        <w:rPr>
          <w:rFonts w:hint="eastAsia" w:ascii="仿宋" w:hAnsi="仿宋" w:eastAsia="仿宋" w:cs="仿宋"/>
          <w:b/>
          <w:bCs/>
          <w:sz w:val="30"/>
          <w:szCs w:val="30"/>
          <w:lang w:val="en-US" w:eastAsia="zh-CN"/>
        </w:rPr>
        <w:t>（八）</w:t>
      </w:r>
      <w:r>
        <w:rPr>
          <w:rFonts w:hint="default" w:ascii="仿宋" w:hAnsi="仿宋" w:eastAsia="仿宋" w:cs="仿宋"/>
          <w:b/>
          <w:bCs/>
          <w:sz w:val="30"/>
          <w:szCs w:val="30"/>
          <w:lang w:val="en-US" w:eastAsia="zh-CN"/>
        </w:rPr>
        <w:t>风险分级</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通过采用科学、合理方法对危险源所伴随的风险进行定性或定量评价，根据评价结果划分等级。</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仿宋" w:hAnsi="仿宋" w:eastAsia="仿宋" w:cs="仿宋"/>
          <w:sz w:val="30"/>
          <w:szCs w:val="30"/>
          <w:lang w:val="en-US" w:eastAsia="zh-CN"/>
        </w:rPr>
      </w:pPr>
      <w:r>
        <w:rPr>
          <w:rFonts w:hint="eastAsia" w:ascii="仿宋" w:hAnsi="仿宋" w:eastAsia="仿宋" w:cs="仿宋"/>
          <w:b/>
          <w:bCs/>
          <w:sz w:val="30"/>
          <w:szCs w:val="30"/>
          <w:lang w:val="en-US" w:eastAsia="zh-CN"/>
        </w:rPr>
        <w:t>（九）</w:t>
      </w:r>
      <w:r>
        <w:rPr>
          <w:rFonts w:hint="default" w:ascii="仿宋" w:hAnsi="仿宋" w:eastAsia="仿宋" w:cs="仿宋"/>
          <w:b/>
          <w:bCs/>
          <w:sz w:val="30"/>
          <w:szCs w:val="30"/>
          <w:lang w:val="en-US" w:eastAsia="zh-CN"/>
        </w:rPr>
        <w:t>风险分级管控</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按照风险不同级别、所需管控资源、管控能力、管控措施复杂及难易程度等因素而确定不同管控层级的风险管控方式。</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仿宋" w:hAnsi="仿宋" w:eastAsia="仿宋" w:cs="仿宋"/>
          <w:sz w:val="30"/>
          <w:szCs w:val="30"/>
          <w:lang w:val="en-US" w:eastAsia="zh-CN"/>
        </w:rPr>
      </w:pPr>
      <w:r>
        <w:rPr>
          <w:rFonts w:hint="eastAsia" w:ascii="仿宋" w:hAnsi="仿宋" w:eastAsia="仿宋" w:cs="仿宋"/>
          <w:b/>
          <w:bCs/>
          <w:sz w:val="30"/>
          <w:szCs w:val="30"/>
          <w:lang w:val="en-US" w:eastAsia="zh-CN"/>
        </w:rPr>
        <w:t>（十）</w:t>
      </w:r>
      <w:r>
        <w:rPr>
          <w:rFonts w:hint="default" w:ascii="仿宋" w:hAnsi="仿宋" w:eastAsia="仿宋" w:cs="仿宋"/>
          <w:b/>
          <w:bCs/>
          <w:sz w:val="30"/>
          <w:szCs w:val="30"/>
          <w:lang w:val="en-US" w:eastAsia="zh-CN"/>
        </w:rPr>
        <w:t>风险控制措施</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企业为将风险降低至可接受程度，针对该风险而采取的相应控制方法和手段</w:t>
      </w:r>
      <w:r>
        <w:rPr>
          <w:rFonts w:hint="eastAsia" w:ascii="仿宋" w:hAnsi="仿宋" w:eastAsia="仿宋" w:cs="仿宋"/>
          <w:sz w:val="30"/>
          <w:szCs w:val="30"/>
          <w:lang w:val="en-US" w:eastAsia="zh-CN"/>
        </w:rPr>
        <w:t>，应包括工程技术措施、管理措施、培训教育措施、个体防护措施、应急措施。</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仿宋" w:hAnsi="仿宋" w:eastAsia="仿宋" w:cs="仿宋"/>
          <w:sz w:val="30"/>
          <w:szCs w:val="30"/>
          <w:lang w:val="en-US" w:eastAsia="zh-CN"/>
        </w:rPr>
      </w:pPr>
      <w:r>
        <w:rPr>
          <w:rFonts w:hint="eastAsia" w:ascii="仿宋" w:hAnsi="仿宋" w:eastAsia="仿宋" w:cs="仿宋"/>
          <w:b/>
          <w:bCs/>
          <w:sz w:val="30"/>
          <w:szCs w:val="30"/>
          <w:lang w:val="en-US" w:eastAsia="zh-CN"/>
        </w:rPr>
        <w:t>（十一）</w:t>
      </w:r>
      <w:r>
        <w:rPr>
          <w:rFonts w:hint="default" w:ascii="仿宋" w:hAnsi="仿宋" w:eastAsia="仿宋" w:cs="仿宋"/>
          <w:b/>
          <w:bCs/>
          <w:sz w:val="30"/>
          <w:szCs w:val="30"/>
          <w:lang w:val="en-US" w:eastAsia="zh-CN"/>
        </w:rPr>
        <w:t>风险信息</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风险点名称、危险源名称、类型、所在位置、当前状态以及伴随风险大小、等级、所需管控措施、责任单位、责任人等一系列信息的综合。</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仿宋" w:hAnsi="仿宋" w:eastAsia="仿宋" w:cs="仿宋"/>
          <w:sz w:val="30"/>
          <w:szCs w:val="30"/>
          <w:lang w:val="en-US" w:eastAsia="zh-CN"/>
        </w:rPr>
      </w:pPr>
      <w:r>
        <w:rPr>
          <w:rFonts w:hint="eastAsia" w:ascii="仿宋" w:hAnsi="仿宋" w:eastAsia="仿宋" w:cs="仿宋"/>
          <w:b/>
          <w:bCs/>
          <w:sz w:val="30"/>
          <w:szCs w:val="30"/>
          <w:lang w:val="en-US" w:eastAsia="zh-CN"/>
        </w:rPr>
        <w:t>（十二）</w:t>
      </w:r>
      <w:r>
        <w:rPr>
          <w:rFonts w:hint="default" w:ascii="仿宋" w:hAnsi="仿宋" w:eastAsia="仿宋" w:cs="仿宋"/>
          <w:b/>
          <w:bCs/>
          <w:sz w:val="30"/>
          <w:szCs w:val="30"/>
          <w:lang w:val="en-US" w:eastAsia="zh-CN"/>
        </w:rPr>
        <w:t>风险分级管控清单</w:t>
      </w:r>
      <w:r>
        <w:rPr>
          <w:rFonts w:hint="eastAsia" w:ascii="仿宋" w:hAnsi="仿宋" w:eastAsia="仿宋" w:cs="仿宋"/>
          <w:sz w:val="30"/>
          <w:szCs w:val="30"/>
          <w:lang w:val="en-US" w:eastAsia="zh-CN"/>
        </w:rPr>
        <w:t>：</w:t>
      </w:r>
      <w:r>
        <w:rPr>
          <w:rFonts w:hint="default" w:ascii="仿宋" w:hAnsi="仿宋" w:eastAsia="仿宋" w:cs="仿宋"/>
          <w:sz w:val="30"/>
          <w:szCs w:val="30"/>
          <w:lang w:val="en-US" w:eastAsia="zh-CN"/>
        </w:rPr>
        <w:t>各类风险信息的集合</w:t>
      </w:r>
      <w:r>
        <w:rPr>
          <w:rFonts w:hint="eastAsia" w:ascii="仿宋" w:hAnsi="仿宋" w:eastAsia="仿宋" w:cs="仿宋"/>
          <w:sz w:val="30"/>
          <w:szCs w:val="30"/>
          <w:lang w:val="en-US" w:eastAsia="zh-CN"/>
        </w:rPr>
        <w:t>，建立清单。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四、组织机构</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b/>
          <w:bCs/>
          <w:color w:val="auto"/>
          <w:sz w:val="28"/>
          <w:szCs w:val="28"/>
        </w:rPr>
      </w:pPr>
      <w:r>
        <w:rPr>
          <w:rFonts w:hint="eastAsia" w:ascii="仿宋" w:hAnsi="仿宋" w:eastAsia="仿宋" w:cs="仿宋"/>
          <w:sz w:val="30"/>
          <w:szCs w:val="30"/>
          <w:lang w:val="en-US" w:eastAsia="zh-CN"/>
        </w:rPr>
        <w:t>成立了四级风险评价、管控组织机构，分别为：公司级、部门级、车间级。</w:t>
      </w:r>
    </w:p>
    <w:p>
      <w:pPr>
        <w:keepNext w:val="0"/>
        <w:keepLines w:val="0"/>
        <w:pageBreakBefore w:val="0"/>
        <w:widowControl w:val="0"/>
        <w:kinsoku/>
        <w:wordWrap/>
        <w:overflowPunct/>
        <w:topLinePunct w:val="0"/>
        <w:autoSpaceDE/>
        <w:autoSpaceDN/>
        <w:bidi w:val="0"/>
        <w:adjustRightInd/>
        <w:snapToGrid/>
        <w:spacing w:line="500" w:lineRule="exact"/>
        <w:ind w:firstLine="880" w:firstLineChars="200"/>
        <w:jc w:val="center"/>
        <w:textAlignment w:val="auto"/>
        <w:rPr>
          <w:rFonts w:hint="eastAsia" w:ascii="仿宋" w:hAnsi="仿宋" w:eastAsia="仿宋" w:cs="仿宋"/>
          <w:b w:val="0"/>
          <w:bCs w:val="0"/>
          <w:sz w:val="44"/>
          <w:szCs w:val="44"/>
          <w:lang w:val="en-US" w:eastAsia="zh-CN"/>
        </w:rPr>
      </w:pPr>
      <w:r>
        <w:rPr>
          <w:rFonts w:hint="eastAsia" w:ascii="仿宋" w:hAnsi="仿宋" w:eastAsia="仿宋" w:cs="仿宋"/>
          <w:b w:val="0"/>
          <w:bCs w:val="0"/>
          <w:sz w:val="44"/>
          <w:szCs w:val="44"/>
          <w:lang w:val="en-US" w:eastAsia="zh-CN"/>
        </w:rPr>
        <w:t>风险管理组织机构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一、公司级风险评价、管控小组</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组  长：任安全、李  胜</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副组长：陈争峰、许令奇、郭  勇、张荣江、陈  迎</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成  员：各职能部门、车间负责人</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领导小组下设办公室，办公室设在安全环保部，安全环保部部长陈迎兼任办公室主任，具体负责安全风险分级管控的管理工作。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二、部门级风险评价、管控小组</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组  长：部  长</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副组长：副部长</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成  员：车间主任、副主任及部门其他成员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bCs/>
          <w:sz w:val="30"/>
          <w:szCs w:val="30"/>
          <w:lang w:val="en-US" w:eastAsia="zh-CN"/>
        </w:rPr>
      </w:pPr>
      <w:r>
        <w:rPr>
          <w:rFonts w:hint="eastAsia" w:ascii="黑体" w:hAnsi="黑体" w:eastAsia="黑体" w:cs="黑体"/>
          <w:b w:val="0"/>
          <w:bCs w:val="0"/>
          <w:sz w:val="32"/>
          <w:szCs w:val="32"/>
          <w:lang w:val="en-US" w:eastAsia="zh-CN"/>
        </w:rPr>
        <w:t>三、车间级风险评价、管控小组</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组  长：车间主任</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副组长：车间副主任</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成  员：车间安全员、工艺技术员及班组成员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b/>
          <w:bCs/>
          <w:sz w:val="30"/>
          <w:szCs w:val="30"/>
          <w:lang w:val="en-US" w:eastAsia="zh-CN"/>
        </w:rPr>
      </w:pPr>
      <w:r>
        <w:rPr>
          <w:rFonts w:hint="eastAsia" w:ascii="黑体" w:hAnsi="黑体" w:eastAsia="黑体" w:cs="黑体"/>
          <w:b w:val="0"/>
          <w:bCs w:val="0"/>
          <w:sz w:val="32"/>
          <w:szCs w:val="32"/>
          <w:lang w:val="en-US" w:eastAsia="zh-CN"/>
        </w:rPr>
        <w:t>四、班组级风险评价、管控小组</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组  长：班组班长</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副组长：班组主操</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成  员：班组成员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val="0"/>
          <w:sz w:val="32"/>
          <w:szCs w:val="32"/>
          <w:lang w:val="en-US" w:eastAsia="zh-CN"/>
        </w:rPr>
      </w:pPr>
      <w:bookmarkStart w:id="0" w:name="_Toc1777"/>
      <w:r>
        <w:rPr>
          <w:rFonts w:hint="eastAsia" w:ascii="黑体" w:hAnsi="黑体" w:eastAsia="黑体" w:cs="黑体"/>
          <w:b w:val="0"/>
          <w:bCs w:val="0"/>
          <w:sz w:val="32"/>
          <w:szCs w:val="32"/>
          <w:lang w:val="en-US" w:eastAsia="zh-CN"/>
        </w:rPr>
        <w:t>五、实施全员培训</w:t>
      </w:r>
      <w:bookmarkEnd w:id="0"/>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制定风险分级管控培训计划，分层次、分阶段培训学习，掌握危险源辨识、风险评价的方法，保留培训记录。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六、风险识别和评价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（一）风险点确定</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1. 风险点划分原则</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对装置风险点的划分，应遵循大小适中、便于分类、功能独立、易于管理、范围清晰的原则，可按照生产装置、储存罐区、装卸站台、作业场所等功能分区进行。</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对操作及作业活动等风险点的划分，应当涵盖生产经营全过程所有常规和非常规状态的作业活动。对于系统或大型机组开、停车，检维修，动火、受限空间等操作难度大、技术含量高、风险等级高、可能导致严重后果的作业活动应进行重点考虑。</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2.风险点排查</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应组织对本单位全过程进行风险点排查，形成包括风险点名称、区域位置、可能导致事故类型等内容的基本信息，并建立《风险点登记台账》，为下一步进行风险分析做好准备。</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仿宋" w:hAnsi="仿宋" w:eastAsia="仿宋" w:cs="仿宋"/>
          <w:sz w:val="30"/>
          <w:szCs w:val="30"/>
          <w:lang w:val="en-US" w:eastAsia="zh-CN"/>
        </w:rPr>
      </w:pPr>
      <w:r>
        <w:rPr>
          <w:rFonts w:hint="default" w:ascii="仿宋" w:hAnsi="仿宋" w:eastAsia="仿宋" w:cs="仿宋"/>
          <w:sz w:val="30"/>
          <w:szCs w:val="30"/>
          <w:lang w:val="en-US" w:eastAsia="zh-CN"/>
        </w:rPr>
        <w:t>风险点排查应按生产（工作）流程的阶段、场所、装置、设施、作业活动或上述几种方法的结合等进行。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val="0"/>
          <w:sz w:val="32"/>
          <w:szCs w:val="32"/>
          <w:lang w:val="en-US" w:eastAsia="zh-CN"/>
        </w:rPr>
      </w:pPr>
      <w:bookmarkStart w:id="1" w:name="_Toc14007"/>
      <w:r>
        <w:rPr>
          <w:rFonts w:hint="eastAsia" w:ascii="黑体" w:hAnsi="黑体" w:eastAsia="黑体" w:cs="黑体"/>
          <w:b w:val="0"/>
          <w:bCs w:val="0"/>
          <w:sz w:val="32"/>
          <w:szCs w:val="32"/>
          <w:lang w:val="en-US" w:eastAsia="zh-CN"/>
        </w:rPr>
        <w:t>七、危险源辨识分析</w:t>
      </w:r>
      <w:bookmarkEnd w:id="1"/>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（一）危险源辨识</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危险源辨识应覆盖风险点内全部设备设施和作业活动，建立《作业活动清单》及《设备设施清单》。宜采用以下几种常用辨识方法：</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——对于作业活动，宜采用工作危害分析法（简称JHA）进行辨识；</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——对于设备设施，宜采用安全检查表法（简称SCL）进行辨识。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（二）危险源辨识范围</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危险源辨识范围应包括：规划、设计、建设、投产、运行等阶段；常规和非常规作业活动；事故及潜在的紧急情况；所有进入作业场所人员的活动；原材料、产品的运输和使用过程；作业场所的设施、设备、车辆、安全防护用品；工艺、设备、管理、人员等变更；丢弃、废弃、拆除与处置；气候、地质及环境影响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（三）危险源辨识实施</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对潜在的人的不安全行为、物的不安全状态、环境缺陷和管理缺陷等危害因素进行辨识，充分考虑危害因素的根源和性质。</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辨识危险源也可以从能量和物质的角度进行提示。其中从能量的角度可以考虑机械能、电能、化学能、热能和辐射能等。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val="0"/>
          <w:sz w:val="32"/>
          <w:szCs w:val="32"/>
          <w:lang w:val="en-US" w:eastAsia="zh-CN"/>
        </w:rPr>
      </w:pPr>
      <w:bookmarkStart w:id="2" w:name="_Toc13054"/>
      <w:r>
        <w:rPr>
          <w:rFonts w:hint="eastAsia" w:ascii="黑体" w:hAnsi="黑体" w:eastAsia="黑体" w:cs="黑体"/>
          <w:b w:val="0"/>
          <w:bCs w:val="0"/>
          <w:sz w:val="32"/>
          <w:szCs w:val="32"/>
          <w:lang w:val="en-US" w:eastAsia="zh-CN"/>
        </w:rPr>
        <w:t>八、风险控制措施</w:t>
      </w:r>
      <w:bookmarkEnd w:id="2"/>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风险控制措施应从工程技术措施、管理措施、培训教育、个体防护、应急处置等方面识别并评估现有控制措施的有效性。现有控制措施不足以控制此项风险，应提出建议或改进的控制措施。</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风险控制措施应考虑可行性、可靠性、先进性、安全性、经济合理性、经营运行情况及可靠的技术保证。</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设备设施类危险源的控制措施应包括：报警、联锁、安全阀、液位、温度、压力等工艺设备本身带有的控制措施和消防、检查、检验等常规的管理措施。</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作业活动类危险源的控制措施应包括：制度完备性、管理流程合理性、作业环境可控性、作业对象完好状态及作业人员素质等方面。</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不同级别的风险要结合实际采取一种或多种措施进行控制，直至风险可以接受。</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风险控制措施在实施前应组织评审。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val="0"/>
          <w:sz w:val="32"/>
          <w:szCs w:val="32"/>
          <w:lang w:val="en-US" w:eastAsia="zh-CN"/>
        </w:rPr>
      </w:pPr>
      <w:bookmarkStart w:id="3" w:name="_Toc14837"/>
      <w:r>
        <w:rPr>
          <w:rFonts w:hint="eastAsia" w:ascii="黑体" w:hAnsi="黑体" w:eastAsia="黑体" w:cs="黑体"/>
          <w:b w:val="0"/>
          <w:bCs w:val="0"/>
          <w:sz w:val="32"/>
          <w:szCs w:val="32"/>
          <w:lang w:val="en-US" w:eastAsia="zh-CN"/>
        </w:rPr>
        <w:t>九、风险评价</w:t>
      </w:r>
      <w:bookmarkEnd w:id="3"/>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（一）风险评价方法</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选择风险矩阵分析法（LS法），针对辨识的危险源潜在的风险进行定性、定量评价，并填写工作危害分析评价记录和安全检查表分析评价记录。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（二）风险评价准则</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制定风险评价准则时应结合生产特点，并充分考虑以下要求：</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——有关安全生产法律、法规；</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——设计规范、技术标准；</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——公司的安全管理、技术标准；</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——公司的安全生产方针和目标等；</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——相关方的诉求等。</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在对风险点和各类危险源进行风险评价时，应考虑人、财产和环境等三个方面存在的可能性和后果严重程度的影响，并结合生产特点和自身实际，明确事故（事件）发生的可能性、严重性和风险度取值标准，确定风险判定准则，进行风险分析。</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1. 风险分级标准：</w:t>
      </w:r>
    </w:p>
    <w:tbl>
      <w:tblPr>
        <w:tblStyle w:val="6"/>
        <w:tblW w:w="9855" w:type="dxa"/>
        <w:tblInd w:w="-6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45"/>
        <w:gridCol w:w="2040"/>
        <w:gridCol w:w="1995"/>
        <w:gridCol w:w="1875"/>
        <w:gridCol w:w="1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trPr>
        <w:tc>
          <w:tcPr>
            <w:tcW w:w="2145" w:type="dxa"/>
            <w:noWrap w:val="0"/>
            <w:vAlign w:val="top"/>
          </w:tcPr>
          <w:p>
            <w:pPr>
              <w:keepNext w:val="0"/>
              <w:keepLines w:val="0"/>
              <w:pageBreakBefore w:val="0"/>
              <w:widowControl w:val="0"/>
              <w:tabs>
                <w:tab w:val="center" w:pos="964"/>
              </w:tabs>
              <w:kinsoku/>
              <w:wordWrap/>
              <w:overflowPunct/>
              <w:topLinePunct w:val="0"/>
              <w:autoSpaceDE/>
              <w:autoSpaceDN/>
              <w:bidi w:val="0"/>
              <w:adjustRightInd/>
              <w:snapToGrid/>
              <w:spacing w:line="380" w:lineRule="exact"/>
              <w:ind w:left="0" w:leftChars="0"/>
              <w:textAlignment w:val="auto"/>
              <w:outlineLvl w:val="9"/>
              <w:rPr>
                <w:rFonts w:hint="eastAsia" w:ascii="仿宋_GB2312" w:hAnsi="仿宋_GB2312" w:eastAsia="仿宋_GB2312" w:cs="仿宋_GB2312"/>
                <w:sz w:val="28"/>
                <w:szCs w:val="28"/>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-4445</wp:posOffset>
                      </wp:positionV>
                      <wp:extent cx="1322705" cy="836295"/>
                      <wp:effectExtent l="3175" t="5080" r="7620" b="15875"/>
                      <wp:wrapNone/>
                      <wp:docPr id="3" name="直接连接符 3"/>
                      <wp:cNvGraphicFramePr/>
                      <a:graphic xmlns:a="http://schemas.openxmlformats.org/drawingml/2006/main">
                        <a:graphicData uri="http://schemas.microsoft.com/office/word/2010/wordprocessingShape">
                          <wps:wsp>
                            <wps:cNvCnPr/>
                            <wps:spPr>
                              <a:xfrm>
                                <a:off x="664210" y="7652385"/>
                                <a:ext cx="1322705" cy="83629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4.4pt;margin-top:-0.35pt;height:65.85pt;width:104.15pt;z-index:251658240;mso-width-relative:page;mso-height-relative:page;" filled="f" stroked="t" coordsize="21600,21600" o:gfxdata="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YShNgAAAAIAQAADwAAAAAAAAABACAAAAAiAAAAZHJzL2Rvd25yZXYueG1sUEsB&#10;AhQAFAAAAAgAh07iQPsP+4v1AQAAwgMAAA4AAAAAAAAAAQAgAAAAJwEAAGRycy9lMm9Eb2MueG1s&#10;UEsFBgAAAAAGAAYAWQEAAI4FAAAAAA==&#10;">
                      <v:fill on="f" focussize="0,0"/>
                      <v:stroke weight="1pt" color="#000000 [3200]" miterlimit="8" joinstyle="miter"/>
                      <v:imagedata o:title=""/>
                      <o:lock v:ext="edit" aspectratio="f"/>
                    </v:line>
                  </w:pict>
                </mc:Fallback>
              </mc:AlternateContent>
            </w:r>
            <w:r>
              <w:rPr>
                <w:rFonts w:hint="eastAsia" w:ascii="仿宋_GB2312" w:hAnsi="仿宋_GB2312" w:eastAsia="仿宋_GB2312" w:cs="仿宋_GB2312"/>
                <w:sz w:val="28"/>
                <w:szCs w:val="28"/>
                <w:lang w:eastAsia="zh-CN"/>
              </w:rPr>
              <w:tab/>
            </w:r>
            <w:r>
              <w:rPr>
                <w:rFonts w:hint="eastAsia" w:ascii="仿宋_GB2312" w:hAnsi="仿宋_GB2312" w:eastAsia="仿宋_GB2312" w:cs="仿宋_GB2312"/>
                <w:sz w:val="28"/>
                <w:szCs w:val="28"/>
                <w:lang w:val="en-US" w:eastAsia="zh-CN"/>
              </w:rPr>
              <w:t>风险等级</w:t>
            </w:r>
          </w:p>
          <w:p>
            <w:pPr>
              <w:keepNext w:val="0"/>
              <w:keepLines w:val="0"/>
              <w:pageBreakBefore w:val="0"/>
              <w:widowControl w:val="0"/>
              <w:tabs>
                <w:tab w:val="center" w:pos="964"/>
              </w:tabs>
              <w:kinsoku/>
              <w:wordWrap/>
              <w:overflowPunct/>
              <w:topLinePunct w:val="0"/>
              <w:autoSpaceDE/>
              <w:autoSpaceDN/>
              <w:bidi w:val="0"/>
              <w:adjustRightInd/>
              <w:snapToGrid/>
              <w:spacing w:line="380" w:lineRule="exact"/>
              <w:ind w:left="0" w:leftChars="0"/>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tabs>
                <w:tab w:val="center" w:pos="964"/>
              </w:tabs>
              <w:kinsoku/>
              <w:wordWrap/>
              <w:overflowPunct/>
              <w:topLinePunct w:val="0"/>
              <w:autoSpaceDE/>
              <w:autoSpaceDN/>
              <w:bidi w:val="0"/>
              <w:adjustRightInd/>
              <w:snapToGrid/>
              <w:spacing w:line="380" w:lineRule="exact"/>
              <w:ind w:left="0" w:leftChars="0"/>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判定方法</w:t>
            </w: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重大</w:t>
            </w:r>
          </w:p>
        </w:tc>
        <w:tc>
          <w:tcPr>
            <w:tcW w:w="199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较大</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一般</w:t>
            </w: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LS法</w:t>
            </w: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1级</w:t>
            </w:r>
          </w:p>
        </w:tc>
        <w:tc>
          <w:tcPr>
            <w:tcW w:w="199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2级</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3级</w:t>
            </w: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214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R范围</w:t>
            </w: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20～25</w:t>
            </w:r>
          </w:p>
        </w:tc>
        <w:tc>
          <w:tcPr>
            <w:tcW w:w="199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15～16</w:t>
            </w:r>
          </w:p>
        </w:tc>
        <w:tc>
          <w:tcPr>
            <w:tcW w:w="187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9～12</w:t>
            </w:r>
          </w:p>
        </w:tc>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～8</w:t>
            </w:r>
          </w:p>
        </w:tc>
      </w:tr>
    </w:tbl>
    <w:p>
      <w:pPr>
        <w:pStyle w:val="10"/>
        <w:keepNext w:val="0"/>
        <w:keepLines w:val="0"/>
        <w:pageBreakBefore w:val="0"/>
        <w:kinsoku/>
        <w:wordWrap/>
        <w:overflowPunct/>
        <w:topLinePunct w:val="0"/>
        <w:autoSpaceDE w:val="0"/>
        <w:autoSpaceDN w:val="0"/>
        <w:bidi w:val="0"/>
        <w:adjustRightInd w:val="0"/>
        <w:spacing w:line="380" w:lineRule="exact"/>
        <w:jc w:val="both"/>
        <w:textAlignment w:val="baseline"/>
        <w:rPr>
          <w:rFonts w:hint="eastAsia" w:ascii="仿宋_GB2312" w:hAnsi="仿宋_GB2312" w:eastAsia="仿宋_GB2312" w:cs="仿宋_GB2312"/>
          <w:kern w:val="0"/>
          <w:sz w:val="28"/>
          <w:szCs w:val="28"/>
        </w:rPr>
      </w:pPr>
    </w:p>
    <w:p>
      <w:pPr>
        <w:pStyle w:val="10"/>
        <w:keepNext w:val="0"/>
        <w:keepLines w:val="0"/>
        <w:pageBreakBefore w:val="0"/>
        <w:kinsoku/>
        <w:wordWrap/>
        <w:overflowPunct/>
        <w:topLinePunct w:val="0"/>
        <w:autoSpaceDE w:val="0"/>
        <w:autoSpaceDN w:val="0"/>
        <w:bidi w:val="0"/>
        <w:adjustRightInd w:val="0"/>
        <w:spacing w:line="380" w:lineRule="exact"/>
        <w:jc w:val="both"/>
        <w:textAlignment w:val="baseline"/>
        <w:rPr>
          <w:rFonts w:hint="eastAsia" w:ascii="仿宋_GB2312" w:hAnsi="仿宋_GB2312" w:eastAsia="仿宋_GB2312" w:cs="仿宋_GB2312"/>
          <w:kern w:val="0"/>
          <w:sz w:val="28"/>
          <w:szCs w:val="28"/>
        </w:rPr>
      </w:pPr>
    </w:p>
    <w:p>
      <w:pPr>
        <w:pStyle w:val="10"/>
        <w:keepNext w:val="0"/>
        <w:keepLines w:val="0"/>
        <w:pageBreakBefore w:val="0"/>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表1  事件发生的可能性判断准则L</w:t>
      </w:r>
    </w:p>
    <w:tbl>
      <w:tblPr>
        <w:tblStyle w:val="6"/>
        <w:tblW w:w="987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6"/>
        <w:gridCol w:w="89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93"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等 级</w:t>
            </w:r>
          </w:p>
        </w:tc>
        <w:tc>
          <w:tcPr>
            <w:tcW w:w="8978"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w:t>
            </w:r>
          </w:p>
        </w:tc>
        <w:tc>
          <w:tcPr>
            <w:tcW w:w="8978"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4"/>
                <w:szCs w:val="24"/>
                <w:lang w:val="en-US" w:eastAsia="zh-CN"/>
              </w:rPr>
              <w:t>在现场没有采取防范、监测、保护、控制措施，或危害的发生不能被发现（没有监测系统），或在正常情况下经常发生此类事故或事件</w:t>
            </w:r>
            <w:r>
              <w:rPr>
                <w:rFonts w:hint="eastAsia" w:ascii="仿宋_GB2312" w:hAnsi="仿宋_GB2312" w:eastAsia="仿宋_GB2312" w:cs="仿宋_GB2312"/>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6"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w:t>
            </w:r>
          </w:p>
        </w:tc>
        <w:tc>
          <w:tcPr>
            <w:tcW w:w="8978"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危害的发生不容易被发现，现场没有检测系统，也未发生过任何监测，或在现场有控制措施，但未有效执行或控制措施不当，或危害常发生或在预期情况下发生。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w:t>
            </w:r>
          </w:p>
        </w:tc>
        <w:tc>
          <w:tcPr>
            <w:tcW w:w="8978"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没有保护措施(如没有保护装置、没有个人防护用品等)，或未严格按操作程序执行，或危害的发生容易被发现(现场有监测系统)，或曾经作过监测，或过去曾经发生类似事故或事件，或在异常情况下类似事故或事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w:t>
            </w:r>
          </w:p>
        </w:tc>
        <w:tc>
          <w:tcPr>
            <w:tcW w:w="8978"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危害一旦发生能及时发现，并定期进行监测，或现场有防范控制措施，并能有效执行，或过去偶尔发生事故或事件。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896"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w:t>
            </w:r>
          </w:p>
        </w:tc>
        <w:tc>
          <w:tcPr>
            <w:tcW w:w="8978"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有充分、有效的防范、控制、监测、保护措施，或员工安全卫生意识相当高，严格执行操作规程。极不可能发生事故或事件。</w:t>
            </w:r>
          </w:p>
        </w:tc>
      </w:tr>
    </w:tbl>
    <w:p>
      <w:pPr>
        <w:pStyle w:val="10"/>
        <w:keepNext w:val="0"/>
        <w:keepLines w:val="0"/>
        <w:pageBreakBefore w:val="0"/>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kern w:val="0"/>
          <w:sz w:val="28"/>
          <w:szCs w:val="28"/>
        </w:rPr>
      </w:pPr>
    </w:p>
    <w:p>
      <w:pPr>
        <w:pStyle w:val="10"/>
        <w:keepNext w:val="0"/>
        <w:keepLines w:val="0"/>
        <w:pageBreakBefore w:val="0"/>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表2  事件后果严重性S判别准则</w:t>
      </w:r>
    </w:p>
    <w:tbl>
      <w:tblPr>
        <w:tblStyle w:val="7"/>
        <w:tblW w:w="9990" w:type="dxa"/>
        <w:tblInd w:w="-6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910"/>
        <w:gridCol w:w="1680"/>
        <w:gridCol w:w="1185"/>
        <w:gridCol w:w="1410"/>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Align w:val="center"/>
          </w:tcPr>
          <w:p>
            <w:pPr>
              <w:pStyle w:val="5"/>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br w:type="page"/>
            </w:r>
            <w:r>
              <w:rPr>
                <w:rFonts w:hint="eastAsia" w:ascii="仿宋_GB2312" w:hAnsi="仿宋_GB2312" w:eastAsia="仿宋_GB2312" w:cs="仿宋_GB2312"/>
                <w:kern w:val="0"/>
                <w:sz w:val="24"/>
                <w:szCs w:val="24"/>
                <w:lang w:val="en-US" w:eastAsia="zh-CN"/>
              </w:rPr>
              <w:t>等级</w:t>
            </w:r>
          </w:p>
        </w:tc>
        <w:tc>
          <w:tcPr>
            <w:tcW w:w="2910" w:type="dxa"/>
            <w:vAlign w:val="center"/>
          </w:tcPr>
          <w:p>
            <w:pPr>
              <w:pStyle w:val="5"/>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法律、法规及其他要求</w:t>
            </w:r>
          </w:p>
        </w:tc>
        <w:tc>
          <w:tcPr>
            <w:tcW w:w="1680" w:type="dxa"/>
            <w:vAlign w:val="center"/>
          </w:tcPr>
          <w:p>
            <w:pPr>
              <w:pStyle w:val="5"/>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人员</w:t>
            </w:r>
          </w:p>
        </w:tc>
        <w:tc>
          <w:tcPr>
            <w:tcW w:w="1185" w:type="dxa"/>
            <w:vAlign w:val="center"/>
          </w:tcPr>
          <w:p>
            <w:pPr>
              <w:pStyle w:val="5"/>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 xml:space="preserve">财产损失（万元） </w:t>
            </w:r>
          </w:p>
        </w:tc>
        <w:tc>
          <w:tcPr>
            <w:tcW w:w="1410" w:type="dxa"/>
            <w:vAlign w:val="center"/>
          </w:tcPr>
          <w:p>
            <w:pPr>
              <w:pStyle w:val="5"/>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停工</w:t>
            </w:r>
          </w:p>
        </w:tc>
        <w:tc>
          <w:tcPr>
            <w:tcW w:w="2086" w:type="dxa"/>
            <w:vAlign w:val="center"/>
          </w:tcPr>
          <w:p>
            <w:pPr>
              <w:pStyle w:val="5"/>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公司形象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19" w:type="dxa"/>
            <w:vAlign w:val="center"/>
          </w:tcPr>
          <w:p>
            <w:pPr>
              <w:pStyle w:val="5"/>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5</w:t>
            </w:r>
          </w:p>
        </w:tc>
        <w:tc>
          <w:tcPr>
            <w:tcW w:w="2910" w:type="dxa"/>
            <w:vAlign w:val="center"/>
          </w:tcPr>
          <w:p>
            <w:pPr>
              <w:pStyle w:val="5"/>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违反法律、法规和标准</w:t>
            </w:r>
          </w:p>
        </w:tc>
        <w:tc>
          <w:tcPr>
            <w:tcW w:w="1680" w:type="dxa"/>
            <w:vAlign w:val="center"/>
          </w:tcPr>
          <w:p>
            <w:pPr>
              <w:pStyle w:val="5"/>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死亡</w:t>
            </w:r>
          </w:p>
        </w:tc>
        <w:tc>
          <w:tcPr>
            <w:tcW w:w="1185" w:type="dxa"/>
            <w:vAlign w:val="center"/>
          </w:tcPr>
          <w:p>
            <w:pPr>
              <w:pStyle w:val="5"/>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default" w:ascii="仿宋_GB2312" w:hAnsi="仿宋_GB2312" w:eastAsia="仿宋_GB2312" w:cs="仿宋_GB2312"/>
                <w:kern w:val="0"/>
                <w:sz w:val="24"/>
                <w:szCs w:val="24"/>
                <w:vertAlign w:val="baseline"/>
                <w:lang w:val="en-US"/>
              </w:rPr>
            </w:pPr>
            <w:r>
              <w:rPr>
                <w:rFonts w:hint="eastAsia" w:ascii="仿宋_GB2312" w:hAnsi="仿宋_GB2312" w:eastAsia="仿宋_GB2312" w:cs="仿宋_GB2312"/>
                <w:kern w:val="0"/>
                <w:sz w:val="24"/>
                <w:szCs w:val="24"/>
                <w:lang w:val="en-US" w:eastAsia="zh-CN"/>
              </w:rPr>
              <w:t>&gt;50</w:t>
            </w:r>
          </w:p>
        </w:tc>
        <w:tc>
          <w:tcPr>
            <w:tcW w:w="1410" w:type="dxa"/>
            <w:vAlign w:val="center"/>
          </w:tcPr>
          <w:p>
            <w:pPr>
              <w:pStyle w:val="5"/>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全厂停工</w:t>
            </w:r>
          </w:p>
        </w:tc>
        <w:tc>
          <w:tcPr>
            <w:tcW w:w="2086" w:type="dxa"/>
            <w:vAlign w:val="center"/>
          </w:tcPr>
          <w:p>
            <w:pPr>
              <w:pStyle w:val="5"/>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全国范围内影响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Align w:val="center"/>
          </w:tcPr>
          <w:p>
            <w:pPr>
              <w:pStyle w:val="5"/>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4</w:t>
            </w:r>
          </w:p>
        </w:tc>
        <w:tc>
          <w:tcPr>
            <w:tcW w:w="2910" w:type="dxa"/>
            <w:vAlign w:val="center"/>
          </w:tcPr>
          <w:p>
            <w:pPr>
              <w:pStyle w:val="5"/>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潜在违反法规和标准</w:t>
            </w:r>
          </w:p>
        </w:tc>
        <w:tc>
          <w:tcPr>
            <w:tcW w:w="1680" w:type="dxa"/>
            <w:vAlign w:val="center"/>
          </w:tcPr>
          <w:p>
            <w:pPr>
              <w:pStyle w:val="5"/>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丧失劳动能力</w:t>
            </w:r>
          </w:p>
        </w:tc>
        <w:tc>
          <w:tcPr>
            <w:tcW w:w="1185" w:type="dxa"/>
            <w:vAlign w:val="center"/>
          </w:tcPr>
          <w:p>
            <w:pPr>
              <w:pStyle w:val="5"/>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default" w:ascii="仿宋_GB2312" w:hAnsi="仿宋_GB2312" w:eastAsia="仿宋_GB2312" w:cs="仿宋_GB2312"/>
                <w:kern w:val="0"/>
                <w:sz w:val="24"/>
                <w:szCs w:val="24"/>
                <w:vertAlign w:val="baseline"/>
                <w:lang w:val="en-US"/>
              </w:rPr>
            </w:pPr>
            <w:r>
              <w:rPr>
                <w:rFonts w:hint="eastAsia" w:ascii="仿宋_GB2312" w:hAnsi="仿宋_GB2312" w:eastAsia="仿宋_GB2312" w:cs="仿宋_GB2312"/>
                <w:kern w:val="0"/>
                <w:sz w:val="24"/>
                <w:szCs w:val="24"/>
                <w:lang w:val="en-US" w:eastAsia="zh-CN"/>
              </w:rPr>
              <w:t>&gt;25</w:t>
            </w:r>
          </w:p>
        </w:tc>
        <w:tc>
          <w:tcPr>
            <w:tcW w:w="1410" w:type="dxa"/>
            <w:vAlign w:val="center"/>
          </w:tcPr>
          <w:p>
            <w:pPr>
              <w:pStyle w:val="5"/>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2套装置停工、或设备停工</w:t>
            </w:r>
          </w:p>
        </w:tc>
        <w:tc>
          <w:tcPr>
            <w:tcW w:w="2086" w:type="dxa"/>
            <w:vAlign w:val="center"/>
          </w:tcPr>
          <w:p>
            <w:pPr>
              <w:pStyle w:val="5"/>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行业内、省内影响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vAlign w:val="center"/>
          </w:tcPr>
          <w:p>
            <w:pPr>
              <w:pStyle w:val="5"/>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3</w:t>
            </w:r>
          </w:p>
        </w:tc>
        <w:tc>
          <w:tcPr>
            <w:tcW w:w="2910" w:type="dxa"/>
            <w:vAlign w:val="center"/>
          </w:tcPr>
          <w:p>
            <w:pPr>
              <w:pStyle w:val="5"/>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不符合上级公司或行业的安全方针、制度、规定等</w:t>
            </w:r>
          </w:p>
        </w:tc>
        <w:tc>
          <w:tcPr>
            <w:tcW w:w="1680" w:type="dxa"/>
            <w:vAlign w:val="center"/>
          </w:tcPr>
          <w:p>
            <w:pPr>
              <w:pStyle w:val="5"/>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截肢、骨折、听力丧失、慢性病</w:t>
            </w:r>
          </w:p>
        </w:tc>
        <w:tc>
          <w:tcPr>
            <w:tcW w:w="1185" w:type="dxa"/>
            <w:vAlign w:val="center"/>
          </w:tcPr>
          <w:p>
            <w:pPr>
              <w:pStyle w:val="5"/>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&gt;10</w:t>
            </w:r>
          </w:p>
        </w:tc>
        <w:tc>
          <w:tcPr>
            <w:tcW w:w="1410" w:type="dxa"/>
            <w:vAlign w:val="center"/>
          </w:tcPr>
          <w:p>
            <w:pPr>
              <w:pStyle w:val="5"/>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1套装置停工或设备</w:t>
            </w:r>
          </w:p>
        </w:tc>
        <w:tc>
          <w:tcPr>
            <w:tcW w:w="2086" w:type="dxa"/>
            <w:vAlign w:val="center"/>
          </w:tcPr>
          <w:p>
            <w:pPr>
              <w:pStyle w:val="5"/>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园区内部影响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719" w:type="dxa"/>
            <w:vAlign w:val="center"/>
          </w:tcPr>
          <w:p>
            <w:pPr>
              <w:pStyle w:val="5"/>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2</w:t>
            </w:r>
          </w:p>
        </w:tc>
        <w:tc>
          <w:tcPr>
            <w:tcW w:w="2910" w:type="dxa"/>
            <w:vAlign w:val="center"/>
          </w:tcPr>
          <w:p>
            <w:pPr>
              <w:pStyle w:val="5"/>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不符合公司的安全操作程序、规定</w:t>
            </w:r>
          </w:p>
        </w:tc>
        <w:tc>
          <w:tcPr>
            <w:tcW w:w="1680" w:type="dxa"/>
            <w:vAlign w:val="center"/>
          </w:tcPr>
          <w:p>
            <w:pPr>
              <w:pStyle w:val="5"/>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轻微受伤、间歇不舒服</w:t>
            </w:r>
          </w:p>
        </w:tc>
        <w:tc>
          <w:tcPr>
            <w:tcW w:w="1185" w:type="dxa"/>
            <w:vAlign w:val="center"/>
          </w:tcPr>
          <w:p>
            <w:pPr>
              <w:pStyle w:val="5"/>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default" w:ascii="仿宋_GB2312" w:hAnsi="仿宋_GB2312" w:eastAsia="仿宋_GB2312" w:cs="仿宋_GB2312"/>
                <w:kern w:val="0"/>
                <w:sz w:val="24"/>
                <w:szCs w:val="24"/>
                <w:vertAlign w:val="baseline"/>
                <w:lang w:val="en-US"/>
              </w:rPr>
            </w:pPr>
            <w:r>
              <w:rPr>
                <w:rFonts w:hint="eastAsia" w:ascii="仿宋_GB2312" w:hAnsi="仿宋_GB2312" w:eastAsia="仿宋_GB2312" w:cs="仿宋_GB2312"/>
                <w:kern w:val="0"/>
                <w:sz w:val="24"/>
                <w:szCs w:val="24"/>
                <w:lang w:val="en-US" w:eastAsia="zh-CN"/>
              </w:rPr>
              <w:t>&lt;10</w:t>
            </w:r>
          </w:p>
        </w:tc>
        <w:tc>
          <w:tcPr>
            <w:tcW w:w="1410" w:type="dxa"/>
            <w:vAlign w:val="center"/>
          </w:tcPr>
          <w:p>
            <w:pPr>
              <w:pStyle w:val="5"/>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受影响不大，几乎不停工</w:t>
            </w:r>
          </w:p>
        </w:tc>
        <w:tc>
          <w:tcPr>
            <w:tcW w:w="2086" w:type="dxa"/>
            <w:vAlign w:val="center"/>
          </w:tcPr>
          <w:p>
            <w:pPr>
              <w:pStyle w:val="5"/>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公司内部影响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19" w:type="dxa"/>
            <w:vAlign w:val="center"/>
          </w:tcPr>
          <w:p>
            <w:pPr>
              <w:pStyle w:val="5"/>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1</w:t>
            </w:r>
          </w:p>
        </w:tc>
        <w:tc>
          <w:tcPr>
            <w:tcW w:w="2910" w:type="dxa"/>
            <w:vAlign w:val="center"/>
          </w:tcPr>
          <w:p>
            <w:pPr>
              <w:pStyle w:val="5"/>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完全符合</w:t>
            </w:r>
          </w:p>
        </w:tc>
        <w:tc>
          <w:tcPr>
            <w:tcW w:w="1680" w:type="dxa"/>
            <w:vAlign w:val="center"/>
          </w:tcPr>
          <w:p>
            <w:pPr>
              <w:pStyle w:val="5"/>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无伤亡</w:t>
            </w:r>
          </w:p>
        </w:tc>
        <w:tc>
          <w:tcPr>
            <w:tcW w:w="1185" w:type="dxa"/>
            <w:vAlign w:val="center"/>
          </w:tcPr>
          <w:p>
            <w:pPr>
              <w:pStyle w:val="5"/>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无损失</w:t>
            </w:r>
          </w:p>
        </w:tc>
        <w:tc>
          <w:tcPr>
            <w:tcW w:w="1410" w:type="dxa"/>
            <w:vAlign w:val="center"/>
          </w:tcPr>
          <w:p>
            <w:pPr>
              <w:pStyle w:val="5"/>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没有停工</w:t>
            </w:r>
          </w:p>
        </w:tc>
        <w:tc>
          <w:tcPr>
            <w:tcW w:w="2086" w:type="dxa"/>
            <w:vAlign w:val="center"/>
          </w:tcPr>
          <w:p>
            <w:pPr>
              <w:pStyle w:val="5"/>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eastAsia" w:ascii="仿宋_GB2312" w:hAnsi="仿宋_GB2312" w:eastAsia="仿宋_GB2312" w:cs="仿宋_GB2312"/>
                <w:kern w:val="0"/>
                <w:sz w:val="24"/>
                <w:szCs w:val="24"/>
                <w:vertAlign w:val="baseline"/>
              </w:rPr>
            </w:pPr>
            <w:r>
              <w:rPr>
                <w:rFonts w:hint="eastAsia" w:ascii="仿宋_GB2312" w:hAnsi="仿宋_GB2312" w:eastAsia="仿宋_GB2312" w:cs="仿宋_GB2312"/>
                <w:kern w:val="0"/>
                <w:sz w:val="24"/>
                <w:szCs w:val="24"/>
                <w:lang w:val="en-US" w:eastAsia="zh-CN"/>
              </w:rPr>
              <w:t>没有受损</w:t>
            </w:r>
          </w:p>
        </w:tc>
      </w:tr>
    </w:tbl>
    <w:p>
      <w:pPr>
        <w:pStyle w:val="10"/>
        <w:keepNext w:val="0"/>
        <w:keepLines w:val="0"/>
        <w:pageBreakBefore w:val="0"/>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kern w:val="0"/>
          <w:sz w:val="28"/>
          <w:szCs w:val="28"/>
        </w:rPr>
      </w:pPr>
    </w:p>
    <w:p>
      <w:pPr>
        <w:pStyle w:val="10"/>
        <w:keepNext w:val="0"/>
        <w:keepLines w:val="0"/>
        <w:pageBreakBefore w:val="0"/>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表3 风险等级判定准则及控制措施R</w:t>
      </w:r>
    </w:p>
    <w:tbl>
      <w:tblPr>
        <w:tblStyle w:val="6"/>
        <w:tblW w:w="10095" w:type="dxa"/>
        <w:tblInd w:w="-77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9"/>
        <w:gridCol w:w="1320"/>
        <w:gridCol w:w="6165"/>
        <w:gridCol w:w="16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989"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风险度</w:t>
            </w:r>
          </w:p>
        </w:tc>
        <w:tc>
          <w:tcPr>
            <w:tcW w:w="1320"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等级</w:t>
            </w:r>
          </w:p>
        </w:tc>
        <w:tc>
          <w:tcPr>
            <w:tcW w:w="6165"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应采取的行动/控制措施</w:t>
            </w:r>
          </w:p>
        </w:tc>
        <w:tc>
          <w:tcPr>
            <w:tcW w:w="1621"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实施期限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6" w:hRule="atLeast"/>
        </w:trPr>
        <w:tc>
          <w:tcPr>
            <w:tcW w:w="989"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20-25</w:t>
            </w:r>
          </w:p>
        </w:tc>
        <w:tc>
          <w:tcPr>
            <w:tcW w:w="1320"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重大风险</w:t>
            </w:r>
          </w:p>
          <w:p>
            <w:pPr>
              <w:pStyle w:val="5"/>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1级</w:t>
            </w:r>
          </w:p>
        </w:tc>
        <w:tc>
          <w:tcPr>
            <w:tcW w:w="6165"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val="0"/>
              <w:autoSpaceDN w:val="0"/>
              <w:bidi w:val="0"/>
              <w:adjustRightInd w:val="0"/>
              <w:spacing w:line="380" w:lineRule="exact"/>
              <w:ind w:firstLine="0" w:firstLineChars="0"/>
              <w:jc w:val="left"/>
              <w:textAlignment w:val="baseline"/>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采取紧急措施降低风险，主要从工程措施</w:t>
            </w:r>
            <w:r>
              <w:rPr>
                <w:rFonts w:hint="eastAsia" w:ascii="仿宋_GB2312" w:hAnsi="仿宋_GB2312" w:eastAsia="仿宋_GB2312" w:cs="仿宋_GB2312"/>
                <w:kern w:val="0"/>
                <w:sz w:val="24"/>
                <w:szCs w:val="24"/>
              </w:rPr>
              <w:t>工程控制措施、管理控制措施、培训教育措施</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个体防护措施、应急措施</w:t>
            </w:r>
            <w:r>
              <w:rPr>
                <w:rFonts w:hint="eastAsia" w:ascii="仿宋_GB2312" w:hAnsi="仿宋_GB2312" w:eastAsia="仿宋_GB2312" w:cs="仿宋_GB2312"/>
                <w:kern w:val="0"/>
                <w:sz w:val="24"/>
                <w:szCs w:val="24"/>
                <w:lang w:eastAsia="zh-CN"/>
              </w:rPr>
              <w:t>等</w:t>
            </w:r>
            <w:r>
              <w:rPr>
                <w:rFonts w:hint="eastAsia" w:ascii="仿宋_GB2312" w:hAnsi="仿宋_GB2312" w:eastAsia="仿宋_GB2312" w:cs="仿宋_GB2312"/>
                <w:kern w:val="0"/>
                <w:sz w:val="24"/>
                <w:szCs w:val="24"/>
              </w:rPr>
              <w:t>方面</w:t>
            </w:r>
            <w:r>
              <w:rPr>
                <w:rFonts w:hint="eastAsia" w:ascii="仿宋_GB2312" w:hAnsi="仿宋_GB2312" w:eastAsia="仿宋_GB2312" w:cs="仿宋_GB2312"/>
                <w:kern w:val="0"/>
                <w:sz w:val="24"/>
                <w:szCs w:val="24"/>
                <w:lang w:eastAsia="zh-CN"/>
              </w:rPr>
              <w:t>考虑；</w:t>
            </w:r>
            <w:r>
              <w:rPr>
                <w:rFonts w:hint="eastAsia" w:ascii="仿宋_GB2312" w:hAnsi="仿宋_GB2312" w:eastAsia="仿宋_GB2312" w:cs="仿宋_GB2312"/>
                <w:kern w:val="0"/>
                <w:sz w:val="24"/>
                <w:szCs w:val="24"/>
                <w:lang w:val="en-US" w:eastAsia="zh-CN"/>
              </w:rPr>
              <w:t>对改进措施进行评估</w:t>
            </w:r>
          </w:p>
        </w:tc>
        <w:tc>
          <w:tcPr>
            <w:tcW w:w="1621"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val="0"/>
              <w:autoSpaceDN w:val="0"/>
              <w:bidi w:val="0"/>
              <w:adjustRightInd w:val="0"/>
              <w:spacing w:line="380" w:lineRule="exact"/>
              <w:ind w:firstLine="0" w:firstLineChars="0"/>
              <w:textAlignment w:val="baseline"/>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立即整改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6" w:hRule="atLeast"/>
        </w:trPr>
        <w:tc>
          <w:tcPr>
            <w:tcW w:w="989"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15-16</w:t>
            </w:r>
          </w:p>
        </w:tc>
        <w:tc>
          <w:tcPr>
            <w:tcW w:w="1320"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较大风险</w:t>
            </w:r>
          </w:p>
          <w:p>
            <w:pPr>
              <w:pStyle w:val="5"/>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2级</w:t>
            </w:r>
          </w:p>
        </w:tc>
        <w:tc>
          <w:tcPr>
            <w:tcW w:w="6165"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采取紧急措施降低风险，主要从工程措施</w:t>
            </w:r>
            <w:r>
              <w:rPr>
                <w:rFonts w:hint="eastAsia" w:ascii="仿宋_GB2312" w:hAnsi="仿宋_GB2312" w:eastAsia="仿宋_GB2312" w:cs="仿宋_GB2312"/>
                <w:kern w:val="0"/>
                <w:sz w:val="24"/>
                <w:szCs w:val="24"/>
              </w:rPr>
              <w:t>工程控制措施、管理控制措施、培训教育措施</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个体防护</w:t>
            </w:r>
            <w:r>
              <w:rPr>
                <w:rFonts w:hint="eastAsia" w:ascii="仿宋_GB2312" w:hAnsi="仿宋_GB2312" w:eastAsia="仿宋_GB2312" w:cs="仿宋_GB2312"/>
                <w:kern w:val="0"/>
                <w:sz w:val="24"/>
                <w:szCs w:val="24"/>
                <w:lang w:eastAsia="zh-CN"/>
              </w:rPr>
              <w:t>等</w:t>
            </w:r>
            <w:r>
              <w:rPr>
                <w:rFonts w:hint="eastAsia" w:ascii="仿宋_GB2312" w:hAnsi="仿宋_GB2312" w:eastAsia="仿宋_GB2312" w:cs="仿宋_GB2312"/>
                <w:kern w:val="0"/>
                <w:sz w:val="24"/>
                <w:szCs w:val="24"/>
              </w:rPr>
              <w:t>方面</w:t>
            </w:r>
            <w:r>
              <w:rPr>
                <w:rFonts w:hint="eastAsia" w:ascii="仿宋_GB2312" w:hAnsi="仿宋_GB2312" w:eastAsia="仿宋_GB2312" w:cs="仿宋_GB2312"/>
                <w:kern w:val="0"/>
                <w:sz w:val="24"/>
                <w:szCs w:val="24"/>
                <w:lang w:eastAsia="zh-CN"/>
              </w:rPr>
              <w:t>先行控制</w:t>
            </w:r>
          </w:p>
        </w:tc>
        <w:tc>
          <w:tcPr>
            <w:tcW w:w="1621"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立即或一个季度内治理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89"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9-12</w:t>
            </w:r>
          </w:p>
        </w:tc>
        <w:tc>
          <w:tcPr>
            <w:tcW w:w="1320"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一般风险</w:t>
            </w:r>
          </w:p>
          <w:p>
            <w:pPr>
              <w:pStyle w:val="5"/>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3级</w:t>
            </w:r>
          </w:p>
        </w:tc>
        <w:tc>
          <w:tcPr>
            <w:tcW w:w="6165"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可考虑建立目标、建立操作规程，加强培训及沟通</w:t>
            </w:r>
          </w:p>
        </w:tc>
        <w:tc>
          <w:tcPr>
            <w:tcW w:w="1621"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1年内治理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989"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1-8</w:t>
            </w:r>
          </w:p>
        </w:tc>
        <w:tc>
          <w:tcPr>
            <w:tcW w:w="1320"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低风险</w:t>
            </w:r>
          </w:p>
          <w:p>
            <w:pPr>
              <w:pStyle w:val="5"/>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4级</w:t>
            </w:r>
          </w:p>
        </w:tc>
        <w:tc>
          <w:tcPr>
            <w:tcW w:w="6165"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可考虑建立操作规程、作业指导书但需定期检查无需采用控制措施，但需保存记录</w:t>
            </w:r>
          </w:p>
        </w:tc>
        <w:tc>
          <w:tcPr>
            <w:tcW w:w="1621"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kinsoku/>
              <w:wordWrap/>
              <w:overflowPunct/>
              <w:topLinePunct w:val="0"/>
              <w:autoSpaceDE w:val="0"/>
              <w:autoSpaceDN w:val="0"/>
              <w:bidi w:val="0"/>
              <w:adjustRightInd w:val="0"/>
              <w:spacing w:line="380" w:lineRule="exact"/>
              <w:textAlignment w:val="baseline"/>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有条件、有经费时治理</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2.风险矩阵</w:t>
      </w:r>
    </w:p>
    <w:p>
      <w:pPr>
        <w:pStyle w:val="10"/>
        <w:keepNext w:val="0"/>
        <w:keepLines w:val="0"/>
        <w:pageBreakBefore w:val="0"/>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表4 风险矩阵表</w:t>
      </w:r>
    </w:p>
    <w:tbl>
      <w:tblPr>
        <w:tblStyle w:val="6"/>
        <w:tblpPr w:leftFromText="180" w:rightFromText="180" w:vertAnchor="text" w:horzAnchor="page" w:tblpX="1660" w:tblpY="70"/>
        <w:tblOverlap w:val="never"/>
        <w:tblW w:w="8567"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322"/>
        <w:gridCol w:w="795"/>
        <w:gridCol w:w="1185"/>
        <w:gridCol w:w="1245"/>
        <w:gridCol w:w="1320"/>
        <w:gridCol w:w="1280"/>
        <w:gridCol w:w="1420"/>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47" w:hRule="atLeast"/>
        </w:trPr>
        <w:tc>
          <w:tcPr>
            <w:tcW w:w="1322" w:type="dxa"/>
            <w:vMerge w:val="restart"/>
            <w:tcBorders>
              <w:right w:val="single" w:color="auto" w:sz="4" w:space="0"/>
            </w:tcBorders>
            <w:shd w:val="clear" w:color="auto" w:fill="auto"/>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事故发生的可能性</w:t>
            </w:r>
          </w:p>
        </w:tc>
        <w:tc>
          <w:tcPr>
            <w:tcW w:w="795" w:type="dxa"/>
            <w:tcBorders>
              <w:left w:val="single" w:color="auto" w:sz="4" w:space="0"/>
              <w:bottom w:val="single" w:color="000000" w:sz="4" w:space="0"/>
              <w:right w:val="nil"/>
            </w:tcBorders>
            <w:shd w:val="clear" w:color="auto" w:fill="auto"/>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5</w:t>
            </w:r>
          </w:p>
        </w:tc>
        <w:tc>
          <w:tcPr>
            <w:tcW w:w="1185" w:type="dxa"/>
            <w:tcBorders>
              <w:left w:val="single" w:color="auto" w:sz="4" w:space="0"/>
              <w:bottom w:val="single" w:color="auto" w:sz="4" w:space="0"/>
              <w:right w:val="single" w:color="auto" w:sz="4" w:space="0"/>
            </w:tcBorders>
            <w:shd w:val="clear" w:color="000000" w:fill="0070C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highlight w:val="none"/>
                <w:shd w:val="clear" w:color="auto" w:fill="auto"/>
              </w:rPr>
            </w:pPr>
            <w:r>
              <w:rPr>
                <w:rFonts w:hint="eastAsia" w:ascii="仿宋_GB2312" w:hAnsi="仿宋_GB2312" w:eastAsia="仿宋_GB2312" w:cs="仿宋_GB2312"/>
                <w:color w:val="000000"/>
                <w:kern w:val="0"/>
                <w:sz w:val="28"/>
                <w:szCs w:val="28"/>
                <w:highlight w:val="none"/>
                <w:shd w:val="clear" w:color="auto" w:fill="auto"/>
              </w:rPr>
              <w:t>5</w:t>
            </w:r>
          </w:p>
        </w:tc>
        <w:tc>
          <w:tcPr>
            <w:tcW w:w="1245" w:type="dxa"/>
            <w:tcBorders>
              <w:left w:val="nil"/>
              <w:bottom w:val="single" w:color="auto" w:sz="4" w:space="0"/>
              <w:right w:val="single" w:color="auto" w:sz="4" w:space="0"/>
            </w:tcBorders>
            <w:shd w:val="clear" w:color="auto" w:fill="FFFF0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10</w:t>
            </w:r>
          </w:p>
        </w:tc>
        <w:tc>
          <w:tcPr>
            <w:tcW w:w="1320" w:type="dxa"/>
            <w:tcBorders>
              <w:left w:val="nil"/>
              <w:bottom w:val="single" w:color="auto" w:sz="4" w:space="0"/>
              <w:right w:val="single" w:color="auto" w:sz="4" w:space="0"/>
            </w:tcBorders>
            <w:shd w:val="clear" w:color="auto" w:fill="FFC00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c>
          <w:tcPr>
            <w:tcW w:w="1280" w:type="dxa"/>
            <w:tcBorders>
              <w:left w:val="nil"/>
              <w:bottom w:val="single" w:color="auto" w:sz="4" w:space="0"/>
              <w:right w:val="single" w:color="auto" w:sz="4" w:space="0"/>
            </w:tcBorders>
            <w:shd w:val="clear" w:color="auto" w:fill="FF000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c>
          <w:tcPr>
            <w:tcW w:w="1420" w:type="dxa"/>
            <w:tcBorders>
              <w:left w:val="nil"/>
              <w:bottom w:val="single" w:color="auto" w:sz="4" w:space="0"/>
            </w:tcBorders>
            <w:shd w:val="clear" w:color="auto" w:fill="FF000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47" w:hRule="atLeast"/>
        </w:trPr>
        <w:tc>
          <w:tcPr>
            <w:tcW w:w="1322" w:type="dxa"/>
            <w:vMerge w:val="continue"/>
            <w:tcBorders>
              <w:top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color w:val="000000"/>
                <w:kern w:val="0"/>
                <w:sz w:val="28"/>
                <w:szCs w:val="28"/>
              </w:rPr>
            </w:pPr>
          </w:p>
        </w:tc>
        <w:tc>
          <w:tcPr>
            <w:tcW w:w="795" w:type="dxa"/>
            <w:tcBorders>
              <w:top w:val="nil"/>
              <w:left w:val="single" w:color="auto" w:sz="4" w:space="0"/>
              <w:bottom w:val="single" w:color="000000" w:sz="4" w:space="0"/>
              <w:right w:val="nil"/>
            </w:tcBorders>
            <w:shd w:val="clear" w:color="auto" w:fill="auto"/>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4</w:t>
            </w:r>
          </w:p>
        </w:tc>
        <w:tc>
          <w:tcPr>
            <w:tcW w:w="1185" w:type="dxa"/>
            <w:tcBorders>
              <w:top w:val="nil"/>
              <w:left w:val="single" w:color="auto" w:sz="4" w:space="0"/>
              <w:bottom w:val="single" w:color="auto" w:sz="4" w:space="0"/>
              <w:right w:val="single" w:color="auto" w:sz="4" w:space="0"/>
            </w:tcBorders>
            <w:shd w:val="clear" w:color="000000" w:fill="0070C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1245" w:type="dxa"/>
            <w:tcBorders>
              <w:top w:val="nil"/>
              <w:left w:val="nil"/>
              <w:bottom w:val="single" w:color="auto" w:sz="4" w:space="0"/>
              <w:right w:val="single" w:color="auto" w:sz="4" w:space="0"/>
            </w:tcBorders>
            <w:shd w:val="clear" w:color="000000" w:fill="0070C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c>
          <w:tcPr>
            <w:tcW w:w="1320" w:type="dxa"/>
            <w:tcBorders>
              <w:top w:val="nil"/>
              <w:left w:val="nil"/>
              <w:bottom w:val="single" w:color="auto" w:sz="4" w:space="0"/>
              <w:right w:val="single" w:color="auto" w:sz="4" w:space="0"/>
            </w:tcBorders>
            <w:shd w:val="clear" w:color="000000" w:fill="FFFF0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12</w:t>
            </w:r>
          </w:p>
        </w:tc>
        <w:tc>
          <w:tcPr>
            <w:tcW w:w="1280" w:type="dxa"/>
            <w:tcBorders>
              <w:top w:val="nil"/>
              <w:left w:val="nil"/>
              <w:bottom w:val="single" w:color="auto" w:sz="4" w:space="0"/>
              <w:right w:val="single" w:color="auto" w:sz="4" w:space="0"/>
            </w:tcBorders>
            <w:shd w:val="clear" w:color="000000" w:fill="FFC00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16</w:t>
            </w:r>
          </w:p>
        </w:tc>
        <w:tc>
          <w:tcPr>
            <w:tcW w:w="1420" w:type="dxa"/>
            <w:tcBorders>
              <w:top w:val="nil"/>
              <w:left w:val="nil"/>
              <w:bottom w:val="single" w:color="auto" w:sz="4" w:space="0"/>
            </w:tcBorders>
            <w:shd w:val="clear" w:color="000000" w:fill="FF000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97" w:hRule="atLeast"/>
        </w:trPr>
        <w:tc>
          <w:tcPr>
            <w:tcW w:w="1322" w:type="dxa"/>
            <w:vMerge w:val="continue"/>
            <w:tcBorders>
              <w:top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color w:val="000000"/>
                <w:kern w:val="0"/>
                <w:sz w:val="28"/>
                <w:szCs w:val="28"/>
              </w:rPr>
            </w:pPr>
          </w:p>
        </w:tc>
        <w:tc>
          <w:tcPr>
            <w:tcW w:w="795" w:type="dxa"/>
            <w:tcBorders>
              <w:top w:val="nil"/>
              <w:left w:val="single" w:color="auto" w:sz="4" w:space="0"/>
              <w:bottom w:val="single" w:color="000000" w:sz="4" w:space="0"/>
              <w:right w:val="nil"/>
            </w:tcBorders>
            <w:shd w:val="clear" w:color="auto" w:fill="auto"/>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w:t>
            </w:r>
          </w:p>
        </w:tc>
        <w:tc>
          <w:tcPr>
            <w:tcW w:w="1185" w:type="dxa"/>
            <w:tcBorders>
              <w:top w:val="nil"/>
              <w:left w:val="single" w:color="auto" w:sz="4" w:space="0"/>
              <w:bottom w:val="single" w:color="auto" w:sz="4" w:space="0"/>
              <w:right w:val="single" w:color="auto" w:sz="4" w:space="0"/>
            </w:tcBorders>
            <w:shd w:val="clear" w:color="000000" w:fill="0070C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245" w:type="dxa"/>
            <w:tcBorders>
              <w:top w:val="nil"/>
              <w:left w:val="nil"/>
              <w:bottom w:val="single" w:color="auto" w:sz="4" w:space="0"/>
              <w:right w:val="single" w:color="auto" w:sz="4" w:space="0"/>
            </w:tcBorders>
            <w:shd w:val="clear" w:color="000000" w:fill="0070C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p>
        </w:tc>
        <w:tc>
          <w:tcPr>
            <w:tcW w:w="1320" w:type="dxa"/>
            <w:tcBorders>
              <w:top w:val="nil"/>
              <w:left w:val="nil"/>
              <w:bottom w:val="single" w:color="auto" w:sz="4" w:space="0"/>
              <w:right w:val="single" w:color="auto" w:sz="4" w:space="0"/>
            </w:tcBorders>
            <w:shd w:val="clear" w:color="000000" w:fill="FFFF0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9</w:t>
            </w:r>
          </w:p>
        </w:tc>
        <w:tc>
          <w:tcPr>
            <w:tcW w:w="1280" w:type="dxa"/>
            <w:tcBorders>
              <w:top w:val="nil"/>
              <w:left w:val="nil"/>
              <w:bottom w:val="single" w:color="auto" w:sz="4" w:space="0"/>
              <w:right w:val="single" w:color="auto" w:sz="4" w:space="0"/>
            </w:tcBorders>
            <w:shd w:val="clear" w:color="000000" w:fill="FFFF0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12</w:t>
            </w:r>
          </w:p>
        </w:tc>
        <w:tc>
          <w:tcPr>
            <w:tcW w:w="1420" w:type="dxa"/>
            <w:tcBorders>
              <w:top w:val="nil"/>
              <w:left w:val="nil"/>
              <w:bottom w:val="single" w:color="auto" w:sz="4" w:space="0"/>
            </w:tcBorders>
            <w:shd w:val="clear" w:color="000000" w:fill="FFC00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07" w:hRule="atLeast"/>
        </w:trPr>
        <w:tc>
          <w:tcPr>
            <w:tcW w:w="1322" w:type="dxa"/>
            <w:vMerge w:val="continue"/>
            <w:tcBorders>
              <w:top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color w:val="000000"/>
                <w:kern w:val="0"/>
                <w:sz w:val="28"/>
                <w:szCs w:val="28"/>
              </w:rPr>
            </w:pPr>
          </w:p>
        </w:tc>
        <w:tc>
          <w:tcPr>
            <w:tcW w:w="795" w:type="dxa"/>
            <w:tcBorders>
              <w:top w:val="nil"/>
              <w:left w:val="single" w:color="auto" w:sz="4" w:space="0"/>
              <w:bottom w:val="single" w:color="000000" w:sz="4" w:space="0"/>
              <w:right w:val="nil"/>
            </w:tcBorders>
            <w:shd w:val="clear" w:color="auto" w:fill="auto"/>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w:t>
            </w:r>
          </w:p>
        </w:tc>
        <w:tc>
          <w:tcPr>
            <w:tcW w:w="1185" w:type="dxa"/>
            <w:tcBorders>
              <w:top w:val="nil"/>
              <w:left w:val="single" w:color="auto" w:sz="4" w:space="0"/>
              <w:bottom w:val="single" w:color="auto" w:sz="4" w:space="0"/>
              <w:right w:val="single" w:color="auto" w:sz="4" w:space="0"/>
            </w:tcBorders>
            <w:shd w:val="clear" w:color="000000" w:fill="0070C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245" w:type="dxa"/>
            <w:tcBorders>
              <w:top w:val="nil"/>
              <w:left w:val="nil"/>
              <w:bottom w:val="single" w:color="auto" w:sz="4" w:space="0"/>
              <w:right w:val="single" w:color="auto" w:sz="4" w:space="0"/>
            </w:tcBorders>
            <w:shd w:val="clear" w:color="000000" w:fill="0070C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1320" w:type="dxa"/>
            <w:tcBorders>
              <w:top w:val="nil"/>
              <w:left w:val="nil"/>
              <w:bottom w:val="single" w:color="auto" w:sz="4" w:space="0"/>
              <w:right w:val="single" w:color="auto" w:sz="4" w:space="0"/>
            </w:tcBorders>
            <w:shd w:val="clear" w:color="000000" w:fill="0070C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p>
        </w:tc>
        <w:tc>
          <w:tcPr>
            <w:tcW w:w="1280" w:type="dxa"/>
            <w:tcBorders>
              <w:top w:val="nil"/>
              <w:left w:val="nil"/>
              <w:bottom w:val="single" w:color="auto" w:sz="4" w:space="0"/>
              <w:right w:val="single" w:color="auto" w:sz="4" w:space="0"/>
            </w:tcBorders>
            <w:shd w:val="clear" w:color="000000" w:fill="0070C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c>
          <w:tcPr>
            <w:tcW w:w="1420" w:type="dxa"/>
            <w:tcBorders>
              <w:top w:val="nil"/>
              <w:left w:val="nil"/>
              <w:bottom w:val="single" w:color="auto" w:sz="4" w:space="0"/>
            </w:tcBorders>
            <w:shd w:val="clear" w:color="000000" w:fill="FFFF0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10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47" w:hRule="atLeast"/>
        </w:trPr>
        <w:tc>
          <w:tcPr>
            <w:tcW w:w="1322" w:type="dxa"/>
            <w:vMerge w:val="continue"/>
            <w:tcBorders>
              <w:top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color w:val="000000"/>
                <w:kern w:val="0"/>
                <w:sz w:val="28"/>
                <w:szCs w:val="28"/>
              </w:rPr>
            </w:pPr>
          </w:p>
        </w:tc>
        <w:tc>
          <w:tcPr>
            <w:tcW w:w="795" w:type="dxa"/>
            <w:tcBorders>
              <w:top w:val="nil"/>
              <w:left w:val="single" w:color="auto" w:sz="4" w:space="0"/>
              <w:bottom w:val="single" w:color="000000" w:sz="4" w:space="0"/>
              <w:right w:val="nil"/>
            </w:tcBorders>
            <w:shd w:val="clear" w:color="auto" w:fill="auto"/>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w:t>
            </w:r>
          </w:p>
        </w:tc>
        <w:tc>
          <w:tcPr>
            <w:tcW w:w="1185" w:type="dxa"/>
            <w:tcBorders>
              <w:top w:val="nil"/>
              <w:left w:val="single" w:color="auto" w:sz="4" w:space="0"/>
              <w:bottom w:val="single" w:color="auto" w:sz="4" w:space="0"/>
              <w:right w:val="single" w:color="auto" w:sz="4" w:space="0"/>
            </w:tcBorders>
            <w:shd w:val="clear" w:color="000000" w:fill="0070C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245" w:type="dxa"/>
            <w:tcBorders>
              <w:top w:val="nil"/>
              <w:left w:val="nil"/>
              <w:bottom w:val="single" w:color="auto" w:sz="4" w:space="0"/>
              <w:right w:val="single" w:color="auto" w:sz="4" w:space="0"/>
            </w:tcBorders>
            <w:shd w:val="clear" w:color="000000" w:fill="0070C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320" w:type="dxa"/>
            <w:tcBorders>
              <w:top w:val="nil"/>
              <w:left w:val="nil"/>
              <w:bottom w:val="single" w:color="auto" w:sz="4" w:space="0"/>
              <w:right w:val="single" w:color="auto" w:sz="4" w:space="0"/>
            </w:tcBorders>
            <w:shd w:val="clear" w:color="000000" w:fill="0070C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280" w:type="dxa"/>
            <w:tcBorders>
              <w:top w:val="nil"/>
              <w:left w:val="nil"/>
              <w:bottom w:val="single" w:color="auto" w:sz="4" w:space="0"/>
              <w:right w:val="single" w:color="auto" w:sz="4" w:space="0"/>
            </w:tcBorders>
            <w:shd w:val="clear" w:color="000000" w:fill="0070C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1420" w:type="dxa"/>
            <w:tcBorders>
              <w:top w:val="nil"/>
              <w:left w:val="nil"/>
              <w:bottom w:val="single" w:color="auto" w:sz="4" w:space="0"/>
            </w:tcBorders>
            <w:shd w:val="clear" w:color="000000" w:fill="0070C0"/>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2" w:hRule="atLeast"/>
        </w:trPr>
        <w:tc>
          <w:tcPr>
            <w:tcW w:w="2117" w:type="dxa"/>
            <w:gridSpan w:val="2"/>
            <w:vMerge w:val="restart"/>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风险矩阵</w:t>
            </w:r>
          </w:p>
        </w:tc>
        <w:tc>
          <w:tcPr>
            <w:tcW w:w="11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2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3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2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1420" w:type="dxa"/>
            <w:tcBorders>
              <w:top w:val="nil"/>
              <w:left w:val="nil"/>
              <w:bottom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50" w:hRule="atLeast"/>
        </w:trPr>
        <w:tc>
          <w:tcPr>
            <w:tcW w:w="2117" w:type="dxa"/>
            <w:gridSpan w:val="2"/>
            <w:vMerge w:val="continue"/>
            <w:tcBorders>
              <w:top w:val="single" w:color="auto" w:sz="4" w:space="0"/>
              <w:right w:val="single" w:color="auto" w:sz="4" w:space="0"/>
            </w:tcBorders>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left"/>
              <w:textAlignment w:val="baseline"/>
              <w:rPr>
                <w:rFonts w:hint="eastAsia" w:ascii="仿宋_GB2312" w:hAnsi="仿宋_GB2312" w:eastAsia="仿宋_GB2312" w:cs="仿宋_GB2312"/>
                <w:color w:val="000000"/>
                <w:kern w:val="0"/>
                <w:sz w:val="28"/>
                <w:szCs w:val="28"/>
              </w:rPr>
            </w:pPr>
          </w:p>
        </w:tc>
        <w:tc>
          <w:tcPr>
            <w:tcW w:w="6450" w:type="dxa"/>
            <w:gridSpan w:val="5"/>
            <w:tcBorders>
              <w:top w:val="single" w:color="auto" w:sz="4" w:space="0"/>
              <w:left w:val="nil"/>
            </w:tcBorders>
            <w:noWrap w:val="0"/>
            <w:vAlign w:val="center"/>
          </w:tcPr>
          <w:p>
            <w:pPr>
              <w:keepNext w:val="0"/>
              <w:keepLines w:val="0"/>
              <w:pageBreakBefore w:val="0"/>
              <w:widowControl/>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事故后果严重程度等级</w:t>
            </w:r>
          </w:p>
        </w:tc>
      </w:tr>
    </w:tbl>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val="0"/>
          <w:sz w:val="32"/>
          <w:szCs w:val="32"/>
          <w:lang w:val="en-US" w:eastAsia="zh-CN"/>
        </w:rPr>
      </w:pPr>
      <w:bookmarkStart w:id="4" w:name="_Toc30363"/>
      <w:r>
        <w:rPr>
          <w:rFonts w:hint="eastAsia" w:ascii="黑体" w:hAnsi="黑体" w:eastAsia="黑体" w:cs="黑体"/>
          <w:b w:val="0"/>
          <w:bCs w:val="0"/>
          <w:sz w:val="32"/>
          <w:szCs w:val="32"/>
          <w:lang w:val="en-US" w:eastAsia="zh-CN"/>
        </w:rPr>
        <w:t>十、风险分级管控</w:t>
      </w:r>
      <w:bookmarkEnd w:id="4"/>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（一）管控原则</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风险分析评价和风险等级判定时，应对每项控制措施进行评审，确定可行性、有效性。存在缺失、失效的状况，应制定落实改进措施，降低风险。上级负责管控的风险，下级应同时负责管控，逐级落实具体措施。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（二）重大风险判定</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根据生产特点，除分析判定的风险外，属于以下情况之一的，直接判定为重大风险：</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——违反法律、法规及国家标准中强制性条款的；</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——发生过死亡、重伤、重大财产损失的事故，且现在发生事故的条件依然存在的；</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——根据GB 18218评估为重大危险源的储存场所；</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——涉及受限空间等危险特殊作业等同一作业现场9人以上的。</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——气化投料开停车作业、非正常工况的操作。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（三）风险分级管控实施</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风险评价分级后，按照表5风险等级对照表规定的对应原则，划分为重大风险、较大风险、一般风险和低风险，分别用“红橙黄蓝”四种颜色标识，实施分级管控。</w:t>
      </w:r>
    </w:p>
    <w:p>
      <w:pPr>
        <w:pStyle w:val="10"/>
        <w:keepNext w:val="0"/>
        <w:keepLines w:val="0"/>
        <w:pageBreakBefore w:val="0"/>
        <w:kinsoku/>
        <w:wordWrap/>
        <w:overflowPunct/>
        <w:topLinePunct w:val="0"/>
        <w:autoSpaceDE w:val="0"/>
        <w:autoSpaceDN w:val="0"/>
        <w:bidi w:val="0"/>
        <w:adjustRightInd w:val="0"/>
        <w:spacing w:line="380" w:lineRule="exact"/>
        <w:jc w:val="center"/>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表5 风险分级监管部门和责任部门划分表</w:t>
      </w:r>
    </w:p>
    <w:tbl>
      <w:tblPr>
        <w:tblStyle w:val="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9"/>
        <w:gridCol w:w="1620"/>
        <w:gridCol w:w="1609"/>
        <w:gridCol w:w="1680"/>
        <w:gridCol w:w="1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78" w:type="dxa"/>
            <w:gridSpan w:val="3"/>
          </w:tcPr>
          <w:p>
            <w:pPr>
              <w:pStyle w:val="5"/>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风险级别及颜色</w:t>
            </w:r>
          </w:p>
        </w:tc>
        <w:tc>
          <w:tcPr>
            <w:tcW w:w="1680" w:type="dxa"/>
          </w:tcPr>
          <w:p>
            <w:pPr>
              <w:pStyle w:val="5"/>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责任单位</w:t>
            </w:r>
          </w:p>
        </w:tc>
        <w:tc>
          <w:tcPr>
            <w:tcW w:w="1964" w:type="dxa"/>
          </w:tcPr>
          <w:p>
            <w:pPr>
              <w:pStyle w:val="5"/>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监管单位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9" w:type="dxa"/>
          </w:tcPr>
          <w:p>
            <w:pPr>
              <w:pStyle w:val="5"/>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1级风险</w:t>
            </w:r>
          </w:p>
        </w:tc>
        <w:tc>
          <w:tcPr>
            <w:tcW w:w="1620" w:type="dxa"/>
          </w:tcPr>
          <w:p>
            <w:pPr>
              <w:pStyle w:val="5"/>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重大风险</w:t>
            </w:r>
          </w:p>
        </w:tc>
        <w:tc>
          <w:tcPr>
            <w:tcW w:w="1609" w:type="dxa"/>
          </w:tcPr>
          <w:p>
            <w:pPr>
              <w:pStyle w:val="5"/>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红色</w:t>
            </w:r>
          </w:p>
        </w:tc>
        <w:tc>
          <w:tcPr>
            <w:tcW w:w="1680" w:type="dxa"/>
          </w:tcPr>
          <w:p>
            <w:pPr>
              <w:pStyle w:val="5"/>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公司</w:t>
            </w:r>
          </w:p>
        </w:tc>
        <w:tc>
          <w:tcPr>
            <w:tcW w:w="1964" w:type="dxa"/>
          </w:tcPr>
          <w:p>
            <w:pPr>
              <w:pStyle w:val="5"/>
              <w:keepNext w:val="0"/>
              <w:keepLines w:val="0"/>
              <w:pageBreakBefore w:val="0"/>
              <w:kinsoku/>
              <w:wordWrap/>
              <w:overflowPunct/>
              <w:topLinePunct w:val="0"/>
              <w:autoSpaceDE w:val="0"/>
              <w:autoSpaceDN w:val="0"/>
              <w:bidi w:val="0"/>
              <w:adjustRightInd w:val="0"/>
              <w:spacing w:line="360" w:lineRule="exact"/>
              <w:textAlignment w:val="baseline"/>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9" w:type="dxa"/>
          </w:tcPr>
          <w:p>
            <w:pPr>
              <w:pStyle w:val="5"/>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2级风险</w:t>
            </w:r>
          </w:p>
        </w:tc>
        <w:tc>
          <w:tcPr>
            <w:tcW w:w="1620" w:type="dxa"/>
          </w:tcPr>
          <w:p>
            <w:pPr>
              <w:pStyle w:val="5"/>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较大风险</w:t>
            </w:r>
          </w:p>
        </w:tc>
        <w:tc>
          <w:tcPr>
            <w:tcW w:w="1609" w:type="dxa"/>
          </w:tcPr>
          <w:p>
            <w:pPr>
              <w:pStyle w:val="5"/>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橙色</w:t>
            </w:r>
          </w:p>
        </w:tc>
        <w:tc>
          <w:tcPr>
            <w:tcW w:w="1680" w:type="dxa"/>
          </w:tcPr>
          <w:p>
            <w:pPr>
              <w:pStyle w:val="5"/>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部门</w:t>
            </w:r>
          </w:p>
        </w:tc>
        <w:tc>
          <w:tcPr>
            <w:tcW w:w="1964" w:type="dxa"/>
          </w:tcPr>
          <w:p>
            <w:pPr>
              <w:pStyle w:val="5"/>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9" w:type="dxa"/>
          </w:tcPr>
          <w:p>
            <w:pPr>
              <w:pStyle w:val="5"/>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3级风险</w:t>
            </w:r>
          </w:p>
        </w:tc>
        <w:tc>
          <w:tcPr>
            <w:tcW w:w="1620" w:type="dxa"/>
          </w:tcPr>
          <w:p>
            <w:pPr>
              <w:pStyle w:val="5"/>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一般风险</w:t>
            </w:r>
          </w:p>
        </w:tc>
        <w:tc>
          <w:tcPr>
            <w:tcW w:w="1609" w:type="dxa"/>
          </w:tcPr>
          <w:p>
            <w:pPr>
              <w:pStyle w:val="5"/>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黄色</w:t>
            </w:r>
          </w:p>
        </w:tc>
        <w:tc>
          <w:tcPr>
            <w:tcW w:w="1680" w:type="dxa"/>
          </w:tcPr>
          <w:p>
            <w:pPr>
              <w:pStyle w:val="5"/>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车间</w:t>
            </w:r>
          </w:p>
        </w:tc>
        <w:tc>
          <w:tcPr>
            <w:tcW w:w="1964" w:type="dxa"/>
          </w:tcPr>
          <w:p>
            <w:pPr>
              <w:pStyle w:val="5"/>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49" w:type="dxa"/>
          </w:tcPr>
          <w:p>
            <w:pPr>
              <w:pStyle w:val="5"/>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4级风险</w:t>
            </w:r>
          </w:p>
        </w:tc>
        <w:tc>
          <w:tcPr>
            <w:tcW w:w="1620" w:type="dxa"/>
          </w:tcPr>
          <w:p>
            <w:pPr>
              <w:pStyle w:val="5"/>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低风险</w:t>
            </w:r>
          </w:p>
        </w:tc>
        <w:tc>
          <w:tcPr>
            <w:tcW w:w="1609" w:type="dxa"/>
          </w:tcPr>
          <w:p>
            <w:pPr>
              <w:pStyle w:val="5"/>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蓝色</w:t>
            </w:r>
          </w:p>
        </w:tc>
        <w:tc>
          <w:tcPr>
            <w:tcW w:w="1680" w:type="dxa"/>
          </w:tcPr>
          <w:p>
            <w:pPr>
              <w:pStyle w:val="5"/>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班组</w:t>
            </w:r>
          </w:p>
        </w:tc>
        <w:tc>
          <w:tcPr>
            <w:tcW w:w="1964" w:type="dxa"/>
          </w:tcPr>
          <w:p>
            <w:pPr>
              <w:pStyle w:val="5"/>
              <w:keepNext w:val="0"/>
              <w:keepLines w:val="0"/>
              <w:pageBreakBefore w:val="0"/>
              <w:kinsoku/>
              <w:wordWrap/>
              <w:overflowPunct/>
              <w:topLinePunct w:val="0"/>
              <w:autoSpaceDE w:val="0"/>
              <w:autoSpaceDN w:val="0"/>
              <w:bidi w:val="0"/>
              <w:adjustRightInd w:val="0"/>
              <w:spacing w:line="360" w:lineRule="exact"/>
              <w:textAlignment w:val="baseline"/>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车间</w:t>
            </w:r>
          </w:p>
        </w:tc>
      </w:tr>
    </w:tbl>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（四）编制风险分级管控清单</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危险源辨识和风险评价后，应编制风险分级管控清单（包括全部风险点和风险信息），逐级汇总、评审、修订、审核、发布、培训、实现信息有效传递。</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val="0"/>
          <w:sz w:val="32"/>
          <w:szCs w:val="32"/>
          <w:lang w:val="en-US" w:eastAsia="zh-CN"/>
        </w:rPr>
      </w:pPr>
      <w:bookmarkStart w:id="5" w:name="_Toc15674"/>
      <w:r>
        <w:rPr>
          <w:rFonts w:hint="eastAsia" w:ascii="黑体" w:hAnsi="黑体" w:eastAsia="黑体" w:cs="黑体"/>
          <w:b w:val="0"/>
          <w:bCs w:val="0"/>
          <w:sz w:val="32"/>
          <w:szCs w:val="32"/>
          <w:lang w:val="en-US" w:eastAsia="zh-CN"/>
        </w:rPr>
        <w:t>十一、成果与应用</w:t>
      </w:r>
      <w:bookmarkEnd w:id="5"/>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（一）档案记录</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完整保存体现风险管控过程的记录资料，并分类建档管理。至少应包括风险点登记台账、作业活动和设备设施清单、工作危害分析（JHA+LS）和安全检查表分析（SCL+LS）、风险评价会议记录，以及风险分级管控清单、重大风险（不可接受风险）清单等内容的文件化成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（二）风险信息应用</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结合风险评价的结果将制定的风险控制措施告知内部员工和相关方。对公司员工应进行风险分析结果记录和管控措施的培训，掌握本岗位的风险点包含危险源的风险等级、所需管控措施、责任单位、责任人等信息；对相关方的培训应包括风险点位置、风险等级和管控措施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（三）分级管控的效果</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通过风险分级管控体系建设，应至少在以下方面有所改进：</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——每一轮风险辨识和评价后，应使原有管控措施得到改进，或者通过增加新的管控措施提高安全可靠性；</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——完善重大风险场所、部位的警示标识；</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——员工对所从事岗位的风险有更充分的认识，安全技能和应急处置能力进一步提高；</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——保证风险控制措施持续有效的制度得到改进和完善，风险管控能力得到加强；</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——根据改进的风险控制措施，完善隐患排查项目清单，使隐患排查工作更有针对性。</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（四）评审</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每季度对风险分级管控体系进行一次系统性评审或更新。根据非常规作业活动、装置或设施等适时开展危险源辨识和风险评价。</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（五）更新</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主动根据以下情况变化对风险管控的影响，及时针对变化范围开展风险分析，及时更新风险信息：</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法规、标准等增减、修订变化所引起风险程度的改变；</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发生事故后，有对事故、事件或其他信息的新认识，对相关危险源的再评价；</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组织机构发生重大调整；</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补充新辨识出的危险源评价；</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风险程度变化后，需要对风险控制措施的调整。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（六）沟通</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建立不同职能和层级间的内部沟通和用于与相关方的外部风险管控沟通机制，及时有效传递风险信息，树立内外部风险管控信心，提高风险管控效果和效率。重大风险信息更新后应及时组织相关人员进行培训。</w:t>
      </w:r>
    </w:p>
    <w:p>
      <w:pPr>
        <w:tabs>
          <w:tab w:val="left" w:pos="5438"/>
        </w:tabs>
        <w:bidi w:val="0"/>
        <w:ind w:firstLine="4160" w:firstLineChars="1300"/>
        <w:jc w:val="left"/>
        <w:rPr>
          <w:rFonts w:hint="default" w:ascii="仿宋_GB2312" w:hAnsi="仿宋_GB2312" w:eastAsia="仿宋_GB2312" w:cs="仿宋_GB2312"/>
          <w:b w:val="0"/>
          <w:bCs w:val="0"/>
          <w:sz w:val="32"/>
          <w:szCs w:val="32"/>
          <w:lang w:val="en-US" w:eastAsia="zh-CN"/>
        </w:rPr>
      </w:pPr>
    </w:p>
    <w:sectPr>
      <w:pgSz w:w="11906" w:h="16838"/>
      <w:pgMar w:top="1474" w:right="1800" w:bottom="1474"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6369EB"/>
    <w:rsid w:val="516369EB"/>
    <w:rsid w:val="7E2D1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semiHidden/>
    <w:unhideWhenUsed/>
    <w:qFormat/>
    <w:uiPriority w:val="99"/>
    <w:rPr>
      <w:rFonts w:ascii="宋体" w:hAnsi="Courier New" w:eastAsia="宋体" w:cs="Times New Roman"/>
      <w:sz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qFormat/>
    <w:uiPriority w:val="0"/>
    <w:pPr>
      <w:spacing w:line="360" w:lineRule="auto"/>
      <w:ind w:firstLine="0" w:firstLineChars="0"/>
      <w:jc w:val="center"/>
      <w:outlineLvl w:val="1"/>
    </w:pPr>
    <w:rPr>
      <w:rFonts w:ascii="宋体" w:hAnsi="Cambria" w:eastAsia="宋体" w:cs="Times New Roman"/>
      <w:bCs/>
      <w:kern w:val="28"/>
      <w:sz w:val="24"/>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p0"/>
    <w:basedOn w:val="1"/>
    <w:uiPriority w:val="0"/>
    <w:pPr>
      <w:widowControl/>
    </w:pPr>
    <w:rPr>
      <w:rFonts w:ascii="Times New Roman" w:hAnsi="Times New Roman" w:eastAsia="宋体" w:cs="Times New Roman"/>
      <w:kern w:val="0"/>
      <w:sz w:val="21"/>
      <w:szCs w:val="21"/>
    </w:rPr>
  </w:style>
  <w:style w:type="paragraph" w:customStyle="1" w:styleId="10">
    <w:name w:val="表格标题"/>
    <w:basedOn w:val="2"/>
    <w:qFormat/>
    <w:uiPriority w:val="0"/>
    <w:pPr>
      <w:ind w:firstLine="0" w:firstLineChars="0"/>
      <w:jc w:val="center"/>
    </w:pPr>
    <w:rPr>
      <w:b/>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2021-01-23T08:40:00Z</dcterms:created>
  <dc:creator>黑枣儿</dc:creator>
  <cp:lastModifiedBy>黑枣儿</cp:lastModifiedBy>
  <cp:lastPrinted>2021-01-23T09:09:06Z</cp:lastPrinted>
  <dcterms:modified xsi:type="dcterms:W3CDTF">2021-01-23T09:10:49Z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