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/>
          <w:bCs/>
          <w:kern w:val="1"/>
          <w:sz w:val="44"/>
          <w:szCs w:val="44"/>
          <w:lang w:eastAsia="zh-CN"/>
        </w:rPr>
        <w:t>西北能化公司可能存在的廉政风险</w:t>
      </w:r>
      <w:r>
        <w:rPr>
          <w:rFonts w:hint="eastAsia" w:ascii="方正小标宋简体" w:hAnsi="宋体" w:eastAsia="方正小标宋简体" w:cs="Times New Roman"/>
          <w:b/>
          <w:bCs/>
          <w:kern w:val="1"/>
          <w:sz w:val="44"/>
          <w:szCs w:val="44"/>
          <w:lang w:eastAsia="ar-SA"/>
        </w:rPr>
        <w:t>清单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                              </w:t>
      </w:r>
    </w:p>
    <w:tbl>
      <w:tblPr>
        <w:tblStyle w:val="5"/>
        <w:tblW w:w="15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404"/>
        <w:gridCol w:w="946"/>
        <w:gridCol w:w="6575"/>
        <w:gridCol w:w="875"/>
        <w:gridCol w:w="913"/>
        <w:gridCol w:w="4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4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4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94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65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表现形式</w:t>
            </w:r>
          </w:p>
        </w:tc>
        <w:tc>
          <w:tcPr>
            <w:tcW w:w="8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责任单位</w:t>
            </w:r>
          </w:p>
        </w:tc>
        <w:tc>
          <w:tcPr>
            <w:tcW w:w="91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责任人员</w:t>
            </w:r>
          </w:p>
        </w:tc>
        <w:tc>
          <w:tcPr>
            <w:tcW w:w="49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防控措施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一、物资采购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类</w:t>
            </w: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1 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煤炭采购</w:t>
            </w:r>
          </w:p>
        </w:tc>
        <w:tc>
          <w:tcPr>
            <w:tcW w:w="6575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采购人员不作为，慢作为，</w:t>
            </w:r>
            <w:r>
              <w:rPr>
                <w:rStyle w:val="7"/>
                <w:rFonts w:ascii="仿宋_GB2312" w:hAnsi="仿宋_GB2312" w:eastAsia="仿宋_GB2312" w:cs="仿宋_GB2312"/>
                <w:b w:val="0"/>
                <w:bCs/>
                <w:sz w:val="32"/>
                <w:szCs w:val="32"/>
              </w:rPr>
              <w:t>采购模式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单一，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无法做到比质比价采购，与贸易商存在利益输送行为</w:t>
            </w: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贸易商以次充好，与合同约定不符，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煤质入场质量把控不严，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质检人员质量检测不到位，出虚假检测报告；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司磅人员弄虚作假，量票不符，损害公司利益。</w:t>
            </w: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供应销售部、质检中心、司磅站</w:t>
            </w:r>
          </w:p>
        </w:tc>
        <w:tc>
          <w:tcPr>
            <w:tcW w:w="913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煤炭采购相关人员</w:t>
            </w:r>
          </w:p>
        </w:tc>
        <w:tc>
          <w:tcPr>
            <w:tcW w:w="4931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一是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建立煤炭供应矿点比对表，根据市场变化和各矿点的性价比及时调整采购渠道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；二是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强化煤质检验和考核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质检中心严格按公司煤质采购合同要求对入场煤进行质量管控；三是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司磅人员严格按岗位职责落实执行。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2  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设备及备品备件采购</w:t>
            </w:r>
          </w:p>
        </w:tc>
        <w:tc>
          <w:tcPr>
            <w:tcW w:w="6575" w:type="dxa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与供货厂家进行利益交换，违规指定供货厂家、品牌，无法做到比质比价采购；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采购人员采购过程把关不严，与供应商存在利益输送，无法保证采购商品的质量；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验收程序不规范，实际到货质量、数量与供货合同清单不符，造成公司利益损失。</w:t>
            </w: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生产部、设备部、供应销售部</w:t>
            </w:r>
          </w:p>
        </w:tc>
        <w:tc>
          <w:tcPr>
            <w:tcW w:w="913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各部门相关人员</w:t>
            </w:r>
          </w:p>
        </w:tc>
        <w:tc>
          <w:tcPr>
            <w:tcW w:w="4931" w:type="dxa"/>
            <w:vAlign w:val="center"/>
          </w:tcPr>
          <w:p>
            <w:pPr>
              <w:jc w:val="left"/>
              <w:rPr>
                <w:rFonts w:hint="eastAsia" w:ascii="仿宋_GB2312" w:hAnsi="仿宋" w:eastAsia="仿宋" w:cs="宋体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是在询比价工作中，做到公平公正，对供应商报价遵循低价中标，特种情况需要生产说明具体使用原因；二是对于需从原厂购买的，需使用写明单一厂家情况使用说明；三是在比价过程中，做到所有厂家机会同等。四是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严格把控验收程序，对照采购计划指派技术员以上人员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、采购人员和仓库接受人员共同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验收签字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对于关键设备备件和数额较大的备件要求车间主任以上人员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共同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参与验收签字确认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 xml:space="preserve">  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lang w:eastAsia="zh-CN"/>
              </w:rPr>
              <w:t>消耗物资及</w:t>
            </w: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lang w:val="en-US" w:eastAsia="zh-CN"/>
              </w:rPr>
              <w:t>办公用品</w:t>
            </w: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lang w:eastAsia="zh-CN"/>
              </w:rPr>
              <w:t>采购</w:t>
            </w:r>
          </w:p>
        </w:tc>
        <w:tc>
          <w:tcPr>
            <w:tcW w:w="6575" w:type="dxa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与供应厂家存在利益输送行为，违规指定厂家、品牌及供货单位，无法做到比质比价采购；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供货过程把关不严，不作为，慢作为，以次充好，量票不符，违反合同约定；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使用单位人为缩短需采购物资的使用周期，加大采购量，造成使用成本增加，损害公司利益。</w:t>
            </w: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生产部、经管财务部、供应销售部、司磅站</w:t>
            </w:r>
          </w:p>
        </w:tc>
        <w:tc>
          <w:tcPr>
            <w:tcW w:w="913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各部门相关人员</w:t>
            </w:r>
          </w:p>
        </w:tc>
        <w:tc>
          <w:tcPr>
            <w:tcW w:w="4931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一是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尽可能按年度使用量，集中招标采购，确定采购单价，按实际需要分批供货，据实结算。强化供货验收和使用过程的管理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；二是使用部门</w:t>
            </w: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</w:rPr>
              <w:t>申报计划原则上不指定厂家，只提供技术要求，特殊情况需定点采购的写明原因，由经管询价</w:t>
            </w: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lang w:eastAsia="zh-CN"/>
              </w:rPr>
              <w:t>；三是</w:t>
            </w: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</w:rPr>
              <w:t>严格按照技术协议要求进行性能</w:t>
            </w: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lang w:eastAsia="zh-CN"/>
              </w:rPr>
              <w:t>质量</w:t>
            </w: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</w:rPr>
              <w:t>考核，由使用单位主要负责人、部门分管领导确认签字</w:t>
            </w: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lang w:eastAsia="zh-CN"/>
              </w:rPr>
              <w:t>；四是</w:t>
            </w: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</w:rPr>
              <w:t>对于采购的物资按照质保要求进行考核兑现，严格把关材料计划申报，材料计划申报由车间负责人和部门负责人双重审核</w:t>
            </w: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lang w:eastAsia="zh-CN"/>
              </w:rPr>
              <w:t>；五是</w:t>
            </w: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lang w:val="en-US" w:eastAsia="zh-CN"/>
              </w:rPr>
              <w:t>严格落实物质消耗使用采购指标，杜绝</w:t>
            </w: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</w:rPr>
              <w:t>使用单位人为缩短需采购物资的使用周期</w:t>
            </w: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lang w:eastAsia="zh-CN"/>
              </w:rPr>
              <w:t>，除影响或不满足工艺运行安全要求外（如催化剂活性变差），其它如药剂使用量人为加大、浪费、乱用等现象或长期采购物质不用，造成使用周期过期、失效等将严肃追责；六是</w:t>
            </w: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lang w:val="en-US" w:eastAsia="zh-CN"/>
              </w:rPr>
              <w:t>在不影响生产的情况下，对于可以分批采购的物质，实行分批、批量采购，杜绝积压物质和占用资金。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二、工程建设类</w:t>
            </w: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工程施工、验收</w:t>
            </w:r>
          </w:p>
        </w:tc>
        <w:tc>
          <w:tcPr>
            <w:tcW w:w="65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工程施工、验收过程验收的工程量与实际不符，造成公司利益损失；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施工监督与验收把关不严，不作为，慢作为，随意变通，造成工程实际与合同总价有出入，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与施工单位合伙增大项目投资等行为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监督不力，造成施工进度缓慢、不能按期中交使用或验收质量不符合要求，相关人员存在利益输送；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4.对施工方吃拿卡要，索取回扣，介绍劳务队伍，施工及安装材料等以权谋私行为。</w:t>
            </w: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生产部、经管财务部</w:t>
            </w:r>
          </w:p>
        </w:tc>
        <w:tc>
          <w:tcPr>
            <w:tcW w:w="913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各部门项目负责人</w:t>
            </w:r>
          </w:p>
        </w:tc>
        <w:tc>
          <w:tcPr>
            <w:tcW w:w="4931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一是建立规范的合同（施工）管理体系，严格执行公司验收制度，规范验收程序，杜绝不合格工程和使用不合格产品，不断提高工程质量；二是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按照验收程序使用单位指派技术员以上人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员与经管、施工单位共同验收，车间负责人最终签字核验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；三是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要求施工单位制定施工方案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并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严格审核，按照方案要求进行作业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；四是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不指定具体施工方，只提供技术要求，坚决杜绝吃拿卡要，对施工单位施工前宣教，明确举报通道。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资金使用环节</w:t>
            </w:r>
          </w:p>
        </w:tc>
        <w:tc>
          <w:tcPr>
            <w:tcW w:w="6575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财务人员违规支付工程款（资金紧张时，付款存在人情、利益，不考虑公司实际情况，多付款、提前付款等行为）；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2.资金结算、预算违反财务管理制度等行为；3.计量不认真，虚列工程量套取资金。</w:t>
            </w: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经管财务部</w:t>
            </w:r>
          </w:p>
        </w:tc>
        <w:tc>
          <w:tcPr>
            <w:tcW w:w="913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财务管理相关人员</w:t>
            </w:r>
          </w:p>
        </w:tc>
        <w:tc>
          <w:tcPr>
            <w:tcW w:w="4931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lang w:val="en-US" w:eastAsia="zh-CN"/>
              </w:rPr>
              <w:t>一是严格执行公司资金业务，领导不签字不付款制度；二是执行先做账，后付款，由出纳人员把关。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外围单位服务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如：带压堵漏、维保单位服务等）</w:t>
            </w:r>
          </w:p>
        </w:tc>
        <w:tc>
          <w:tcPr>
            <w:tcW w:w="65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1.工作量的确认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产生的费用与实际工作量偏差过大，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工作质量的验收作假及监督不严；2.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业务联系人员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可能存在吃拿卡要，金钱、物质等利益输送，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损害公司利益的行为；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3.工程评标，存在个人交情，原则把关不严；4.考勤和工作量作假虚报。</w:t>
            </w: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经管财务部、设备部</w:t>
            </w:r>
          </w:p>
        </w:tc>
        <w:tc>
          <w:tcPr>
            <w:tcW w:w="913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各部门相关人员</w:t>
            </w:r>
          </w:p>
        </w:tc>
        <w:tc>
          <w:tcPr>
            <w:tcW w:w="4931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一是严格执行《西北能化公司2020年经营管理与监督考核的实施意见》等各项规章制度；二是承包商考勤和工作量验收2人以上审查把关，留存资料；三是加强廉政教育，不定期进行廉政谈话，提高自身拒腐防变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三、产品销售类</w:t>
            </w: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甲醇及副产品销售</w:t>
            </w:r>
          </w:p>
        </w:tc>
        <w:tc>
          <w:tcPr>
            <w:tcW w:w="6575" w:type="dxa"/>
            <w:vAlign w:val="center"/>
          </w:tcPr>
          <w:p>
            <w:pPr>
              <w:jc w:val="left"/>
              <w:rPr>
                <w:rFonts w:hint="eastAsia" w:ascii="黑体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销售及相关人员不作为，慢作为，随意</w:t>
            </w:r>
            <w:r>
              <w:rPr>
                <w:rStyle w:val="7"/>
                <w:rFonts w:ascii="仿宋_GB2312" w:hAnsi="仿宋_GB2312" w:eastAsia="仿宋_GB2312" w:cs="仿宋_GB2312"/>
                <w:b w:val="0"/>
                <w:bCs/>
                <w:sz w:val="32"/>
                <w:szCs w:val="32"/>
              </w:rPr>
              <w:t>改变采购及销售模式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，造成高买低卖，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损害公司利益，与贸易商存在利益输送行为；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磅单与实际量不符，造成公司利益损失。</w:t>
            </w: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供应销售部、司磅站</w:t>
            </w:r>
          </w:p>
        </w:tc>
        <w:tc>
          <w:tcPr>
            <w:tcW w:w="913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各部门相关人员</w:t>
            </w:r>
          </w:p>
        </w:tc>
        <w:tc>
          <w:tcPr>
            <w:tcW w:w="4931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一是按照公司要求每周召开例会，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严格执行公司定价、定量销售政策，减少人为控制因素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；二是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拓宽销售渠道，尽可能卖给终端用户，减少贸易商交易量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；三是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司磅及监磅人员严格履行岗位职责。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废旧物资处理</w:t>
            </w:r>
          </w:p>
        </w:tc>
        <w:tc>
          <w:tcPr>
            <w:tcW w:w="6575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废旧物资鉴定处理流程不按照规范要求公开透明；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出门手续不齐全，检查监督执行不到位，安保人员未履职尽责，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可能存在收受礼品、礼金等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相关人员不作为，慢作为，随意</w:t>
            </w:r>
            <w:r>
              <w:rPr>
                <w:rStyle w:val="7"/>
                <w:rFonts w:ascii="仿宋_GB2312" w:hAnsi="仿宋_GB2312" w:eastAsia="仿宋_GB2312" w:cs="仿宋_GB2312"/>
                <w:b w:val="0"/>
                <w:bCs/>
                <w:sz w:val="32"/>
                <w:szCs w:val="32"/>
              </w:rPr>
              <w:t>改变销售模式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，可能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存在利益输送行为。</w:t>
            </w: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生产部、设备部、供应销售部、司磅站、综合部</w:t>
            </w:r>
          </w:p>
        </w:tc>
        <w:tc>
          <w:tcPr>
            <w:tcW w:w="913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各部门相关人员</w:t>
            </w:r>
          </w:p>
        </w:tc>
        <w:tc>
          <w:tcPr>
            <w:tcW w:w="4931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一是强化《西北能化公司2020年经营管理与监督考核的实施意见》文件学习；二是按照修旧利废程序和要求，采用多部门配合处置方式，公开进度和手续，报公司审查；三是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严格按照物资鉴定程序与相关部门共同鉴定签字确认，对于废旧物资的处理要提出具体的不能使用的依据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atLeast"/>
        </w:trPr>
        <w:tc>
          <w:tcPr>
            <w:tcW w:w="49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四、经营管理类</w:t>
            </w: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财务管理</w:t>
            </w:r>
          </w:p>
        </w:tc>
        <w:tc>
          <w:tcPr>
            <w:tcW w:w="65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40" w:hanging="300" w:hangingChars="100"/>
              <w:textAlignment w:val="auto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资金活动管控不严，导致违规支付、业务入账不及时、侵占、抽逃等问题；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报销制度执行不力，形同虚设；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对资金的调控不合理，资金的拨付审批不严，不按程序审批拨付资金，可能导致财政资金的误用、挪用；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4.财务人员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不坚持原则，对违反财务制度的现象不抵制，给单位带来损失风险。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br w:type="textWrapping"/>
            </w:r>
          </w:p>
          <w:p>
            <w:pPr>
              <w:jc w:val="left"/>
              <w:rPr>
                <w:rFonts w:hint="eastAsia" w:ascii="黑体" w:hAnsi="黑体" w:eastAsia="仿宋"/>
                <w:sz w:val="28"/>
                <w:szCs w:val="28"/>
                <w:lang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经管财务部</w:t>
            </w:r>
          </w:p>
        </w:tc>
        <w:tc>
          <w:tcPr>
            <w:tcW w:w="913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财务管理相关人员</w:t>
            </w:r>
          </w:p>
        </w:tc>
        <w:tc>
          <w:tcPr>
            <w:tcW w:w="4931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lang w:val="en-US" w:eastAsia="zh-CN"/>
              </w:rPr>
              <w:t>一是严格执行公司资金实时记账制度；二是严格按照公司规章制度报销；三是资金的使用、审批、与拨付严格按照预算执行，由部门负责人把控。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合同签订及技术协议管理</w:t>
            </w:r>
          </w:p>
        </w:tc>
        <w:tc>
          <w:tcPr>
            <w:tcW w:w="6575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1.技术协议及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合同签订不规范，条款约定没有约束力，存在故意人为因素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对我方利益损失的风险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合同履行有约不守。</w:t>
            </w: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经管财务及各部门</w:t>
            </w:r>
          </w:p>
        </w:tc>
        <w:tc>
          <w:tcPr>
            <w:tcW w:w="913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各部门相关人员</w:t>
            </w:r>
          </w:p>
        </w:tc>
        <w:tc>
          <w:tcPr>
            <w:tcW w:w="4931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lang w:eastAsia="zh-CN"/>
              </w:rPr>
              <w:t>一是认真审核合同条款，严格按合同条款执行，</w:t>
            </w: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</w:rPr>
              <w:t>合同文本尽可能使用我公司格式合同</w:t>
            </w: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lang w:eastAsia="zh-CN"/>
              </w:rPr>
              <w:t>；二是</w:t>
            </w: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</w:rPr>
              <w:t>技术协议拟定进行严格把关，使用单位负责人组织专题会研究并留有痕迹，关键技术协议由部门指派专人参加审核</w:t>
            </w:r>
            <w:r>
              <w:rPr>
                <w:rFonts w:hint="eastAsia" w:ascii="仿宋_GB2312" w:hAnsi="仿宋" w:eastAsia="仿宋_GB2312" w:cs="宋体"/>
                <w:color w:val="auto"/>
                <w:sz w:val="30"/>
                <w:szCs w:val="3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招投标管理</w:t>
            </w:r>
          </w:p>
        </w:tc>
        <w:tc>
          <w:tcPr>
            <w:tcW w:w="6575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1.招标程序不规范，评委评分主观性空间过大；2.资质审查把关不严格；3.评标过程中可能存在打招呼违规透露信息或串标行为；4.化整为零，规避公开招标；5.实质性参数具有倾向性，有“量身定做”的嫌疑。</w:t>
            </w: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经管财务及各部门</w:t>
            </w:r>
          </w:p>
        </w:tc>
        <w:tc>
          <w:tcPr>
            <w:tcW w:w="913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各部门相关人员</w:t>
            </w:r>
          </w:p>
        </w:tc>
        <w:tc>
          <w:tcPr>
            <w:tcW w:w="4931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FF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是严格执行《西北能化招投标管理办法及实施细则》；二是严格审查资质，规范技术程序，评标办法和程序，该公开招标的必须公开招标；三是严控技术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参数设定，专题会议研究确定，并留有会议痕迹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五、后勤服务类</w:t>
            </w: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食堂管理</w:t>
            </w:r>
          </w:p>
        </w:tc>
        <w:tc>
          <w:tcPr>
            <w:tcW w:w="6575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1.食品采购及餐饮质量不符合标准要求；2.食堂及超市商品价格与市场价格偏差过大，侵害职工利益；3.管理人员吃拿卡要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利益输送。</w:t>
            </w: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综合部</w:t>
            </w:r>
          </w:p>
        </w:tc>
        <w:tc>
          <w:tcPr>
            <w:tcW w:w="913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食堂负责人</w:t>
            </w:r>
          </w:p>
        </w:tc>
        <w:tc>
          <w:tcPr>
            <w:tcW w:w="4931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一是严格执行食堂超市相关管理规定，定期外调周边市场价格情况，发现价格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偏差过大及时调整价格并严格考核；二是通过食堂管理委员会让员工参与，定期检查监督食堂餐饮质量及环境卫生，对职工反映的合理诉求及时整改。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办公及招待费用</w:t>
            </w:r>
          </w:p>
        </w:tc>
        <w:tc>
          <w:tcPr>
            <w:tcW w:w="6575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超标准、超范围接待。</w:t>
            </w: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综合部</w:t>
            </w:r>
          </w:p>
        </w:tc>
        <w:tc>
          <w:tcPr>
            <w:tcW w:w="913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综合部管理人员</w:t>
            </w:r>
          </w:p>
        </w:tc>
        <w:tc>
          <w:tcPr>
            <w:tcW w:w="4931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严格按照集团公司《皖北煤电集团公司关于印发公务接待等五项管理办法的通知》文件精神执行“三单合一”报销规定。公司纪委牵头每月对“三单合一”报销凭证进行检查。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车辆管理</w:t>
            </w:r>
          </w:p>
        </w:tc>
        <w:tc>
          <w:tcPr>
            <w:tcW w:w="6575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1.车辆行驶里程考核不规范；2.派车单填写程序及报销手续不符合要求；3.修车费用不据实，实际价格与市场价格偏差较大；4.公车私用。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经管财务部、综合部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各部门相关人员</w:t>
            </w:r>
          </w:p>
        </w:tc>
        <w:tc>
          <w:tcPr>
            <w:tcW w:w="4931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FF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是严格执行《西北能化公司公务车辆管理规定》；二是严格按照重新核定的公务车辆单车油耗考核报销油料费用；三是使用新版用车申请单，凡没有派车单、派车单关键信息缺失的，一律不予报销。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安保及门卫管理</w:t>
            </w:r>
          </w:p>
        </w:tc>
        <w:tc>
          <w:tcPr>
            <w:tcW w:w="6575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1.门卫制度执行不严格，进出厂物资、人员及车辆管理不规范，监管不到位；2.可能存在收受礼品、礼金、有价证券等行为。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综合部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门卫负责人</w:t>
            </w:r>
          </w:p>
        </w:tc>
        <w:tc>
          <w:tcPr>
            <w:tcW w:w="4931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一是严格执行门卫相关管理制度；二是加强安保人员管理，确保物资车辆的查验及出门票证的完整性；三是对安保人员的管理要采取群众监督和技术监控并举的方式，一经发现存在违规行为，严肃处理。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六、工资发放类</w:t>
            </w: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工资及奖励发放</w:t>
            </w:r>
          </w:p>
        </w:tc>
        <w:tc>
          <w:tcPr>
            <w:tcW w:w="6575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1.工资及绩效分配过程不公开、不透明，无法确保公平公正；2.存在克扣、截留、返还等现象；3.超范围违规发放。</w:t>
            </w:r>
          </w:p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各部门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各部门负责人</w:t>
            </w:r>
          </w:p>
        </w:tc>
        <w:tc>
          <w:tcPr>
            <w:tcW w:w="493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一是发挥党支部监督机制，按时参与讨论绩效分配和奖励发放方案；二是严格落实各单位绩效分配方案；三是及时公开工资和奖励情况，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定期检查各车间绩效工资分配明细，确保不存在克扣截留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超范围违规发放等现象发生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考勤制度执行</w:t>
            </w:r>
          </w:p>
        </w:tc>
        <w:tc>
          <w:tcPr>
            <w:tcW w:w="6575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虚假考勤，利益输送，损害公司利益。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各部门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各部门负责人</w:t>
            </w:r>
          </w:p>
        </w:tc>
        <w:tc>
          <w:tcPr>
            <w:tcW w:w="4931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一是严格落实考勤制度；二是发挥党支部监督机制，严格监管考勤执行；三是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严把考勤关，各单位考勤需要单位负责人签字确认，不定期检查考勤情况，发现虚假考勤情况严格问责相关单位主要负责人</w:t>
            </w:r>
            <w:r>
              <w:rPr>
                <w:rFonts w:hint="eastAsia" w:ascii="仿宋_GB2312" w:hAnsi="仿宋" w:eastAsia="仿宋_GB2312" w:cs="宋体"/>
                <w:sz w:val="30"/>
                <w:szCs w:val="3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七、其它</w:t>
            </w:r>
          </w:p>
        </w:tc>
        <w:tc>
          <w:tcPr>
            <w:tcW w:w="40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政府部门（供电局）</w:t>
            </w:r>
          </w:p>
        </w:tc>
        <w:tc>
          <w:tcPr>
            <w:tcW w:w="6575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1.电量结算虚假；2.电费结算虚假。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电气车间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主要负责人</w:t>
            </w:r>
          </w:p>
        </w:tc>
        <w:tc>
          <w:tcPr>
            <w:tcW w:w="4931" w:type="dxa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  <w:lang w:val="en-US" w:eastAsia="zh-CN"/>
              </w:rPr>
              <w:t>一是部门和车间多级管控把关；二是加强廉政教育，提高自身拒腐防变能力。</w:t>
            </w:r>
          </w:p>
        </w:tc>
      </w:tr>
    </w:tbl>
    <w:p>
      <w:pPr>
        <w:spacing w:line="440" w:lineRule="exact"/>
        <w:ind w:firstLine="660" w:firstLineChars="150"/>
        <w:rPr>
          <w:rFonts w:ascii="方正小标宋简体" w:eastAsia="方正小标宋简体"/>
          <w:sz w:val="44"/>
          <w:szCs w:val="44"/>
        </w:rPr>
      </w:pPr>
    </w:p>
    <w:sectPr>
      <w:footerReference r:id="rId3" w:type="default"/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01"/>
    <w:rsid w:val="00036556"/>
    <w:rsid w:val="00041D81"/>
    <w:rsid w:val="000A29B9"/>
    <w:rsid w:val="00105CBE"/>
    <w:rsid w:val="001A7280"/>
    <w:rsid w:val="001D095E"/>
    <w:rsid w:val="001E23D0"/>
    <w:rsid w:val="002178FB"/>
    <w:rsid w:val="00273984"/>
    <w:rsid w:val="002840CA"/>
    <w:rsid w:val="002A2981"/>
    <w:rsid w:val="002E5AE8"/>
    <w:rsid w:val="002F6200"/>
    <w:rsid w:val="00347D73"/>
    <w:rsid w:val="003B5826"/>
    <w:rsid w:val="003E0E9E"/>
    <w:rsid w:val="00474DB5"/>
    <w:rsid w:val="0051166F"/>
    <w:rsid w:val="00562CBC"/>
    <w:rsid w:val="00577764"/>
    <w:rsid w:val="005C112F"/>
    <w:rsid w:val="005D090F"/>
    <w:rsid w:val="005E6F25"/>
    <w:rsid w:val="00687709"/>
    <w:rsid w:val="006A7F3E"/>
    <w:rsid w:val="006B2847"/>
    <w:rsid w:val="006F54ED"/>
    <w:rsid w:val="007124A8"/>
    <w:rsid w:val="00776D45"/>
    <w:rsid w:val="007775F2"/>
    <w:rsid w:val="007B28D8"/>
    <w:rsid w:val="007E1561"/>
    <w:rsid w:val="00813A29"/>
    <w:rsid w:val="00877120"/>
    <w:rsid w:val="008829D1"/>
    <w:rsid w:val="008863B6"/>
    <w:rsid w:val="008935D2"/>
    <w:rsid w:val="008A300F"/>
    <w:rsid w:val="008D74C5"/>
    <w:rsid w:val="00914E4E"/>
    <w:rsid w:val="0092483C"/>
    <w:rsid w:val="009474E0"/>
    <w:rsid w:val="009A5FF9"/>
    <w:rsid w:val="00B61D75"/>
    <w:rsid w:val="00BB1B1D"/>
    <w:rsid w:val="00BB27EB"/>
    <w:rsid w:val="00C25379"/>
    <w:rsid w:val="00C30AE8"/>
    <w:rsid w:val="00D34B30"/>
    <w:rsid w:val="00D6066A"/>
    <w:rsid w:val="00D6744A"/>
    <w:rsid w:val="00DD5F35"/>
    <w:rsid w:val="00DD6160"/>
    <w:rsid w:val="00DE7923"/>
    <w:rsid w:val="00DF0246"/>
    <w:rsid w:val="00E6062D"/>
    <w:rsid w:val="00E81E2C"/>
    <w:rsid w:val="00EC182C"/>
    <w:rsid w:val="00F24681"/>
    <w:rsid w:val="00F26085"/>
    <w:rsid w:val="00F7138D"/>
    <w:rsid w:val="00F77201"/>
    <w:rsid w:val="00FB6CF8"/>
    <w:rsid w:val="02EF33B3"/>
    <w:rsid w:val="02F24581"/>
    <w:rsid w:val="036C58E7"/>
    <w:rsid w:val="045B6BB6"/>
    <w:rsid w:val="049B5BA3"/>
    <w:rsid w:val="062F51DE"/>
    <w:rsid w:val="0853649F"/>
    <w:rsid w:val="08E618D7"/>
    <w:rsid w:val="0B116210"/>
    <w:rsid w:val="0C1F0B65"/>
    <w:rsid w:val="0D156B75"/>
    <w:rsid w:val="0E0010F9"/>
    <w:rsid w:val="0FB315CE"/>
    <w:rsid w:val="12281811"/>
    <w:rsid w:val="13F75C26"/>
    <w:rsid w:val="141F18F0"/>
    <w:rsid w:val="147D04FC"/>
    <w:rsid w:val="14F5207F"/>
    <w:rsid w:val="169E6272"/>
    <w:rsid w:val="17D77596"/>
    <w:rsid w:val="1E63030B"/>
    <w:rsid w:val="1F2726A9"/>
    <w:rsid w:val="20092D5A"/>
    <w:rsid w:val="21BA4368"/>
    <w:rsid w:val="22705A92"/>
    <w:rsid w:val="24E63070"/>
    <w:rsid w:val="277D1BD2"/>
    <w:rsid w:val="28713729"/>
    <w:rsid w:val="2BFA1AF1"/>
    <w:rsid w:val="2DDB1CFE"/>
    <w:rsid w:val="34ED32EE"/>
    <w:rsid w:val="35AC19C7"/>
    <w:rsid w:val="37176402"/>
    <w:rsid w:val="37520816"/>
    <w:rsid w:val="3C503929"/>
    <w:rsid w:val="3E616D40"/>
    <w:rsid w:val="4218569A"/>
    <w:rsid w:val="423F7490"/>
    <w:rsid w:val="468C2390"/>
    <w:rsid w:val="4B44030C"/>
    <w:rsid w:val="4B461F53"/>
    <w:rsid w:val="4E3022BA"/>
    <w:rsid w:val="4EAD05DA"/>
    <w:rsid w:val="50F21589"/>
    <w:rsid w:val="546C0897"/>
    <w:rsid w:val="55AA48C6"/>
    <w:rsid w:val="56A96589"/>
    <w:rsid w:val="58A00AFF"/>
    <w:rsid w:val="5D815853"/>
    <w:rsid w:val="610C3367"/>
    <w:rsid w:val="62FD01E0"/>
    <w:rsid w:val="65297449"/>
    <w:rsid w:val="67741918"/>
    <w:rsid w:val="682D6CB3"/>
    <w:rsid w:val="689A1FC9"/>
    <w:rsid w:val="6C7531C0"/>
    <w:rsid w:val="6D4529E4"/>
    <w:rsid w:val="6FD46BD4"/>
    <w:rsid w:val="70670320"/>
    <w:rsid w:val="71C435B1"/>
    <w:rsid w:val="72C91C5F"/>
    <w:rsid w:val="73245A74"/>
    <w:rsid w:val="73CD0C01"/>
    <w:rsid w:val="75B05595"/>
    <w:rsid w:val="75D018FD"/>
    <w:rsid w:val="7770478E"/>
    <w:rsid w:val="781A252D"/>
    <w:rsid w:val="790A4819"/>
    <w:rsid w:val="7C477AFB"/>
    <w:rsid w:val="7C6617AD"/>
    <w:rsid w:val="7C916607"/>
    <w:rsid w:val="7D2213DE"/>
    <w:rsid w:val="7E732AC1"/>
    <w:rsid w:val="7F82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</Words>
  <Characters>502</Characters>
  <Lines>4</Lines>
  <Paragraphs>1</Paragraphs>
  <TotalTime>4</TotalTime>
  <ScaleCrop>false</ScaleCrop>
  <LinksUpToDate>false</LinksUpToDate>
  <CharactersWithSpaces>588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2020-05-13T02:24:00Z</dcterms:created>
  <dc:creator>魏化强</dc:creator>
  <cp:lastModifiedBy>烟花陨落ベ半城烟沙</cp:lastModifiedBy>
  <dcterms:modified xsi:type="dcterms:W3CDTF">2020-09-03T06:24:02Z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