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spacing w:line="240" w:lineRule="exact"/>
        <w:jc w:val="center"/>
        <w:rPr>
          <w:rFonts w:hint="eastAsia" w:ascii="仿宋_GB2312" w:eastAsia="仿宋_GB2312"/>
          <w:szCs w:val="21"/>
          <w:u w:val="none"/>
        </w:rPr>
      </w:pPr>
    </w:p>
    <w:p>
      <w:pPr>
        <w:rPr>
          <w:rFonts w:hint="eastAsia" w:ascii="仿宋_GB2312" w:eastAsia="仿宋_GB2312"/>
          <w:sz w:val="28"/>
          <w:szCs w:val="28"/>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center"/>
        <w:rPr>
          <w:rFonts w:hint="eastAsia" w:ascii="仿宋_GB2312" w:eastAsia="仿宋_GB2312"/>
          <w:szCs w:val="21"/>
          <w:u w:val="none"/>
        </w:rPr>
      </w:pPr>
    </w:p>
    <w:p>
      <w:pPr>
        <w:jc w:val="both"/>
        <w:rPr>
          <w:rFonts w:hint="eastAsia" w:ascii="仿宋_GB2312" w:hAnsi="仿宋" w:eastAsia="仿宋_GB2312" w:cs="仿宋"/>
          <w:sz w:val="32"/>
          <w:szCs w:val="32"/>
        </w:rPr>
      </w:pPr>
    </w:p>
    <w:p>
      <w:pPr>
        <w:ind w:firstLine="320" w:firstLineChars="100"/>
        <w:jc w:val="center"/>
        <w:rPr>
          <w:rFonts w:hint="eastAsia" w:ascii="仿宋_GB2312" w:eastAsia="仿宋_GB2312"/>
          <w:sz w:val="11"/>
          <w:szCs w:val="1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14</w:t>
      </w:r>
      <w:r>
        <w:rPr>
          <w:rFonts w:hint="eastAsia" w:ascii="仿宋_GB2312" w:hAnsi="仿宋" w:eastAsia="仿宋_GB2312" w:cs="仿宋"/>
          <w:sz w:val="32"/>
          <w:szCs w:val="32"/>
        </w:rPr>
        <w:t>号</w:t>
      </w:r>
    </w:p>
    <w:p>
      <w:pPr>
        <w:widowControl w:val="0"/>
        <w:wordWrap/>
        <w:adjustRightInd/>
        <w:snapToGrid/>
        <w:spacing w:line="240" w:lineRule="exact"/>
        <w:ind w:left="0" w:leftChars="0" w:right="0"/>
        <w:jc w:val="center"/>
        <w:textAlignment w:val="auto"/>
        <w:outlineLvl w:val="9"/>
        <w:rPr>
          <w:rFonts w:hint="eastAsia" w:ascii="仿宋_GB2312" w:eastAsia="仿宋_GB2312"/>
          <w:sz w:val="11"/>
          <w:szCs w:val="11"/>
        </w:rPr>
      </w:pPr>
    </w:p>
    <w:p>
      <w:pPr>
        <w:widowControl w:val="0"/>
        <w:wordWrap/>
        <w:adjustRightInd/>
        <w:snapToGrid/>
        <w:ind w:left="0" w:leftChars="0" w:right="0"/>
        <w:jc w:val="center"/>
        <w:textAlignment w:val="auto"/>
        <w:outlineLvl w:val="9"/>
        <w:rPr>
          <w:rFonts w:hint="eastAsia" w:ascii="仿宋_GB2312" w:eastAsia="仿宋_GB2312"/>
          <w:color w:val="000000"/>
          <w:sz w:val="10"/>
          <w:szCs w:val="10"/>
        </w:rPr>
      </w:pPr>
    </w:p>
    <w:p>
      <w:pPr>
        <w:widowControl w:val="0"/>
        <w:wordWrap/>
        <w:adjustRightInd/>
        <w:snapToGrid/>
        <w:ind w:left="0" w:leftChars="0" w:right="0"/>
        <w:jc w:val="center"/>
        <w:textAlignment w:val="auto"/>
        <w:outlineLvl w:val="9"/>
        <w:rPr>
          <w:rFonts w:hint="eastAsia" w:ascii="仿宋_GB2312" w:eastAsia="仿宋_GB2312"/>
          <w:color w:val="000000"/>
          <w:sz w:val="10"/>
          <w:szCs w:val="10"/>
        </w:rPr>
      </w:pP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r>
        <w:rPr>
          <w:rStyle w:val="7"/>
          <w:rFonts w:hint="eastAsia" w:ascii="方正小标宋简体" w:hAnsi="方正小标宋简体" w:eastAsia="方正小标宋简体" w:cs="方正小标宋简体"/>
          <w:b w:val="0"/>
          <w:bCs w:val="0"/>
          <w:color w:val="000000"/>
          <w:sz w:val="44"/>
          <w:szCs w:val="44"/>
          <w:lang w:val="en-US" w:eastAsia="zh-CN"/>
        </w:rPr>
        <w:t>西北能化公司“三抓大讨论”活动实施方案</w:t>
      </w:r>
    </w:p>
    <w:p>
      <w:pPr>
        <w:keepNext w:val="0"/>
        <w:keepLines w:val="0"/>
        <w:pageBreakBefore w:val="0"/>
        <w:widowControl w:val="0"/>
        <w:kinsoku/>
        <w:wordWrap w:val="0"/>
        <w:overflowPunct/>
        <w:topLinePunct w:val="0"/>
        <w:autoSpaceDE/>
        <w:autoSpaceDN/>
        <w:bidi w:val="0"/>
        <w:adjustRightInd/>
        <w:snapToGrid/>
        <w:spacing w:line="540" w:lineRule="exact"/>
        <w:jc w:val="both"/>
        <w:textAlignment w:val="auto"/>
        <w:rPr>
          <w:rStyle w:val="7"/>
          <w:rFonts w:hint="eastAsia" w:ascii="方正小标宋简体" w:hAnsi="方正小标宋简体" w:eastAsia="方正小标宋简体" w:cs="方正小标宋简体"/>
          <w:b w:val="0"/>
          <w:bCs w:val="0"/>
          <w:color w:val="00000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各党支部、各单位：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深入学习贯彻习近平新时代中国特色社会主义思想和党的十九大精神，全面落实集团公司党委书记、董事长龚乃勤调研西北能化公司时的重要指示精神，全力推进“精智西北能化”建设，切实为西北能化高质量发展走在集团公司化工板块前列贡献智慧和力量，公司党委决定，在全公司范围内，广泛开展“抓好解放思想、抓好压力传导、抓好任务落实”大讨论活动（以下简称“三抓大讨论”活动），并就此出台如下活动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一、讨论主题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以“抓好解放思想、抓好压力传导、抓好任务落实”为主题，重点围绕十个方面查摆问题、提出意见建议，即：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（一）如何解放思想、开拓创新，推进建设“精智西北能化”；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（二）如何让干部员工感受到市场和经营压力，打好保生存主动仗、攻坚仗；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（三）如何更加有力地打击“三违”行为、杜绝“非停”事故；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（四）如何更加系统有效地提升员工素质能力；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（五）如何进一步建立健全和完善班组建设体制机制；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（六）如何建立更加有效的考核激励杠杆机制；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（七）如何进一步加强二级安全质量标准化建设；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（八）如何更加深入地开展节支创效；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（九）如何进一步转变干部作风，建塑“立即执行、马上行动”的执行文化，确保各项工作部署得到高效落实；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（十）如何不断提升职工群众获得感。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大讨论活动时间从2020年7月1日起至8月10日。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三、活动步骤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（一）宣传发动阶段（7月1日～5日）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 研究制定方案。制定印发《西北能化公司“三抓大讨论”实施方案》。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 层层动员部署。召开动员部署会议，做好组织发动，层层落实责任。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 同步舆论引导。在公司网站、微信公众号等平台开展集中宣传报道，切实营造浓厚氛围。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（二）学习讨论阶段（7月6日～25日）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 深入开展学习。围绕“精智西北能化”建设，认真查找解放思想、压力传导、任务落实和服务企业高质量发展等方面存在的问题，开展广泛讨论，探讨对策措施。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 组织开展讨论。公司各班子成员牵头制定分管范围内的单位的讨论会议题及召开时间。各单位集中讨论不少于2次，需提前向党群部报送讨论会召开时间、地点，公司分管领导和公司党群部参会。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 举办专题辅导。继续办好“青训班”、“经营大讲堂”，邀请专家学者作专题辅导报告，为“精智西北能化”建设把脉会诊。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 广泛征集意见。开展谈心谈话活动，广泛听取各部门、单位和干部职工意见建议，梳理出具有代表性的问题和对策建议。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 加强调查研究。公司班子成员重点围绕分管领域，开展广泛深入的调查研究。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（三）实践转化阶段（7月26日～10日）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 抓好集中整改。对照查摆问题清单，研究制定具体整改措施。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 推动成果转化。各部门、各单位要梳理有价值的意见建议，形成大讨论活动共识性成果，转化为具体的政策制度、办法措施，最终形成一批实践成果和制度规定。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 加强组织领导。公司党委对此次“三抓大讨论”全面负责，各班子成员对分管部门和业务范围负责，党群部具体负责，各支部、各部门主要负责人为本单位“三抓大讨论”活动的第一责任人，具体抓好组织落实。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 强化督促检查。各支部、各部门要加强对本单位大讨论活动的督促和检查，确保各项工作的落实。纪委、党群部定期对各支部、各部门大讨论活动开展情况进行专项督查。活动开展情况纳入各支部和部门的年度考核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 及时报送材料。各单位查摆的问题清单及意见建议清单，以支部为单位，8月7日前书面报党群部，加盖支部公章、主要负责人签字，同时报送电子版，联系人：吕彩利，联系电话：6789、15047700008。</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 建立长效机制。推进“三抓大讨论”活动的持续深化，以更大力度、更实措施，持续深入地抓好解放思想、抓好压力传导、抓好任务落实，推进“精智西北能化”建设早日建成见效。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西北能化公司党委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2020年7月1日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eastAsia="仿宋_GB2312"/>
          <w:color w:val="000000"/>
          <w:sz w:val="32"/>
          <w:szCs w:val="32"/>
          <w:lang w:val="en-US" w:eastAsia="zh-CN"/>
        </w:rPr>
      </w:pPr>
    </w:p>
    <w:p>
      <w:pPr>
        <w:widowControl w:val="0"/>
        <w:pBdr>
          <w:top w:val="single" w:color="auto" w:sz="6" w:space="1"/>
          <w:bottom w:val="single" w:color="auto" w:sz="6" w:space="1"/>
        </w:pBdr>
        <w:wordWrap/>
        <w:adjustRightInd/>
        <w:snapToGrid/>
        <w:spacing w:line="560" w:lineRule="exact"/>
        <w:ind w:right="0"/>
        <w:jc w:val="both"/>
        <w:textAlignment w:val="auto"/>
        <w:outlineLvl w:val="9"/>
        <w:rPr>
          <w:rFonts w:hint="eastAsia" w:ascii="仿宋_GB2312" w:eastAsia="仿宋_GB2312"/>
          <w:color w:val="000000"/>
          <w:sz w:val="32"/>
          <w:szCs w:val="32"/>
          <w:lang w:val="en-US" w:eastAsia="zh-CN"/>
        </w:rPr>
        <w:sectPr>
          <w:footerReference r:id="rId5" w:type="default"/>
          <w:pgSz w:w="11906" w:h="16838"/>
          <w:pgMar w:top="1417" w:right="1474" w:bottom="1984" w:left="1587" w:header="851" w:footer="2381" w:gutter="0"/>
          <w:pgNumType w:fmt="numberInDash" w:start="2"/>
          <w:cols w:space="720" w:num="1"/>
          <w:rtlGutter w:val="0"/>
          <w:docGrid w:type="lines" w:linePitch="312" w:charSpace="0"/>
        </w:sectPr>
      </w:pPr>
      <w:r>
        <w:rPr>
          <w:rFonts w:hint="eastAsia" w:ascii="仿宋_GB2312" w:eastAsia="仿宋_GB2312"/>
          <w:sz w:val="30"/>
          <w:szCs w:val="30"/>
          <w:lang w:val="en-US" w:eastAsia="zh-CN"/>
        </w:rPr>
        <w:t xml:space="preserve"> </w:t>
      </w:r>
      <w:r>
        <w:rPr>
          <w:rFonts w:hint="eastAsia" w:ascii="仿宋_GB2312" w:eastAsia="仿宋_GB2312"/>
          <w:sz w:val="30"/>
          <w:szCs w:val="30"/>
        </w:rPr>
        <w:t>西北能化公司</w:t>
      </w:r>
      <w:r>
        <w:rPr>
          <w:rFonts w:hint="eastAsia" w:ascii="仿宋_GB2312" w:eastAsia="仿宋_GB2312"/>
          <w:sz w:val="30"/>
          <w:szCs w:val="30"/>
          <w:lang w:eastAsia="zh-CN"/>
        </w:rPr>
        <w:t>党群</w:t>
      </w:r>
      <w:r>
        <w:rPr>
          <w:rFonts w:hint="eastAsia" w:ascii="仿宋_GB2312" w:eastAsia="仿宋_GB2312"/>
          <w:sz w:val="30"/>
          <w:szCs w:val="30"/>
        </w:rPr>
        <w:t>部</w:t>
      </w:r>
      <w:r>
        <w:rPr>
          <w:rFonts w:ascii="仿宋_GB2312" w:eastAsia="仿宋_GB2312"/>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1日</w:t>
      </w:r>
    </w:p>
    <w:p/>
    <w:sectPr>
      <w:headerReference r:id="rId6" w:type="default"/>
      <w:footerReference r:id="rId7" w:type="default"/>
      <w:pgSz w:w="11906" w:h="16838"/>
      <w:pgMar w:top="1417" w:right="1474" w:bottom="1984" w:left="1587" w:header="851" w:footer="992" w:gutter="0"/>
      <w:pgNumType w:fmt="numberInDash"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rFonts w:hint="eastAsia"/>
        <w:lang w:eastAsia="zh-CN"/>
      </w:rPr>
      <w:tab/>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rFonts w:hint="eastAsia"/>
        <w:lang w:eastAsia="zh-CN"/>
      </w:rPr>
      <w:tab/>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301E4"/>
    <w:rsid w:val="11B94BF1"/>
    <w:rsid w:val="268301E4"/>
    <w:rsid w:val="33593D1C"/>
    <w:rsid w:val="41713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w:basedOn w:val="1"/>
    <w:link w:val="5"/>
    <w:qFormat/>
    <w:uiPriority w:val="0"/>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2020-06-30T10:21:00Z</dcterms:created>
  <dc:creator>黑枣儿</dc:creator>
  <cp:lastModifiedBy>烟花陨落ベ半城烟沙</cp:lastModifiedBy>
  <dcterms:modified xsi:type="dcterms:W3CDTF">2020-07-08T08:00:07Z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