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108 </w:t>
      </w:r>
      <w:r>
        <w:rPr>
          <w:rFonts w:hint="eastAsia" w:ascii="仿宋_GB2312" w:hAnsi="仿宋" w:eastAsia="仿宋_GB2312" w:cs="仿宋"/>
          <w:sz w:val="32"/>
          <w:szCs w:val="32"/>
        </w:rPr>
        <w:t>号</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kern w:val="10"/>
          <w:sz w:val="44"/>
          <w:szCs w:val="44"/>
          <w:lang w:val="en-US" w:eastAsia="zh-CN"/>
        </w:rPr>
      </w:pPr>
      <w:r>
        <w:rPr>
          <w:rFonts w:hint="eastAsia" w:ascii="方正小标宋简体" w:hAnsi="方正小标宋简体" w:eastAsia="方正小标宋简体" w:cs="方正小标宋简体"/>
          <w:b w:val="0"/>
          <w:bCs/>
          <w:spacing w:val="0"/>
          <w:kern w:val="10"/>
          <w:sz w:val="44"/>
          <w:szCs w:val="44"/>
          <w:lang w:val="en-US" w:eastAsia="zh-CN"/>
        </w:rPr>
        <w:t>西北能化公司关于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kern w:val="10"/>
          <w:sz w:val="44"/>
          <w:szCs w:val="44"/>
          <w:lang w:val="en-US" w:eastAsia="zh-CN"/>
        </w:rPr>
      </w:pPr>
      <w:r>
        <w:rPr>
          <w:rFonts w:hint="eastAsia" w:ascii="方正小标宋简体" w:hAnsi="方正小标宋简体" w:eastAsia="方正小标宋简体" w:cs="方正小标宋简体"/>
          <w:b w:val="0"/>
          <w:bCs/>
          <w:spacing w:val="0"/>
          <w:kern w:val="10"/>
          <w:sz w:val="44"/>
          <w:szCs w:val="44"/>
          <w:lang w:val="en-US" w:eastAsia="zh-CN"/>
        </w:rPr>
        <w:t>下发2019年冬季“四防”工作实施方案的通知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为认真贯彻落实《皖北煤电集团公司关于做好2019年冬季三防工作的通知》（皖北煤电生技</w:t>
      </w:r>
      <w:r>
        <w:rPr>
          <w:rFonts w:hint="eastAsia" w:ascii="仿宋_GB2312" w:hAnsi="仿宋" w:eastAsia="仿宋_GB2312" w:cs="仿宋"/>
          <w:sz w:val="32"/>
          <w:szCs w:val="32"/>
        </w:rPr>
        <w:t>[201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w:t>
      </w:r>
      <w:bookmarkStart w:id="0" w:name="_GoBack"/>
      <w:bookmarkEnd w:id="0"/>
      <w:r>
        <w:rPr>
          <w:rFonts w:hint="default" w:ascii="仿宋_GB2312" w:hAnsi="仿宋_GB2312" w:eastAsia="仿宋_GB2312" w:cs="仿宋_GB2312"/>
          <w:b w:val="0"/>
          <w:bCs/>
          <w:color w:val="000000"/>
          <w:sz w:val="32"/>
          <w:szCs w:val="32"/>
          <w:lang w:val="en-US" w:eastAsia="zh-CN"/>
        </w:rPr>
        <w:t>175号）文件精神，切实做好冬季安全生产工作，防止各类安全生产事故的发生。经公司研究决定，特制定冬季“四防”工作方案。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sectPr>
          <w:headerReference r:id="rId3" w:type="default"/>
          <w:pgSz w:w="11906" w:h="16838"/>
          <w:pgMar w:top="1417" w:right="1474" w:bottom="1928" w:left="1587" w:header="851" w:footer="992" w:gutter="0"/>
          <w:pgNumType w:start="2"/>
          <w:cols w:space="720" w:num="1"/>
          <w:rtlGutter w:val="0"/>
          <w:docGrid w:linePitch="312" w:charSpace="0"/>
        </w:sectPr>
      </w:pPr>
      <w:r>
        <w:rPr>
          <w:rFonts w:hint="default" w:ascii="仿宋_GB2312" w:hAnsi="仿宋_GB2312" w:eastAsia="仿宋_GB2312" w:cs="仿宋_GB2312"/>
          <w:b w:val="0"/>
          <w:bCs/>
          <w:color w:val="000000"/>
          <w:sz w:val="32"/>
          <w:szCs w:val="32"/>
          <w:lang w:val="en-US" w:eastAsia="zh-CN"/>
        </w:rPr>
        <w:t>为进一步加强安全生产工作，落实安全生产责任制，强化安全生产监督检查，狠反“三违”,把冬季“四防”工作提到重要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议事议程，早安排、早部署、早行动，积极采取有效措施，杜绝各类安全事故的发生，确保冬季安全生产，要实现以下目标：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w:t>
      </w:r>
      <w:r>
        <w:rPr>
          <w:rFonts w:hint="default" w:ascii="仿宋_GB2312" w:hAnsi="仿宋_GB2312" w:eastAsia="仿宋_GB2312" w:cs="仿宋_GB2312"/>
          <w:b w:val="0"/>
          <w:bCs/>
          <w:color w:val="000000"/>
          <w:sz w:val="32"/>
          <w:szCs w:val="32"/>
          <w:lang w:val="en-US" w:eastAsia="zh-CN"/>
        </w:rPr>
        <w:t>不发生冻堵、冻裂主要设备、设施、管道、仪表、消防设施等影响生产的事故。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w:t>
      </w:r>
      <w:r>
        <w:rPr>
          <w:rFonts w:hint="default" w:ascii="仿宋_GB2312" w:hAnsi="仿宋_GB2312" w:eastAsia="仿宋_GB2312" w:cs="仿宋_GB2312"/>
          <w:b w:val="0"/>
          <w:bCs/>
          <w:color w:val="000000"/>
          <w:sz w:val="32"/>
          <w:szCs w:val="32"/>
          <w:lang w:val="en-US" w:eastAsia="zh-CN"/>
        </w:rPr>
        <w:t>不发生火灾事故。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w:t>
      </w:r>
      <w:r>
        <w:rPr>
          <w:rFonts w:hint="default" w:ascii="仿宋_GB2312" w:hAnsi="仿宋_GB2312" w:eastAsia="仿宋_GB2312" w:cs="仿宋_GB2312"/>
          <w:b w:val="0"/>
          <w:bCs/>
          <w:color w:val="000000"/>
          <w:sz w:val="32"/>
          <w:szCs w:val="32"/>
          <w:lang w:val="en-US" w:eastAsia="zh-CN"/>
        </w:rPr>
        <w:t>不发生中毒窒息事故。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w:t>
      </w:r>
      <w:r>
        <w:rPr>
          <w:rFonts w:hint="default" w:ascii="仿宋_GB2312" w:hAnsi="仿宋_GB2312" w:eastAsia="仿宋_GB2312" w:cs="仿宋_GB2312"/>
          <w:b w:val="0"/>
          <w:bCs/>
          <w:color w:val="000000"/>
          <w:sz w:val="32"/>
          <w:szCs w:val="32"/>
          <w:lang w:val="en-US" w:eastAsia="zh-CN"/>
        </w:rPr>
        <w:t>不发生雨雪冰冻天气重大交通事故。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w:t>
      </w:r>
      <w:r>
        <w:rPr>
          <w:rFonts w:hint="default" w:ascii="仿宋_GB2312" w:hAnsi="仿宋_GB2312" w:eastAsia="仿宋_GB2312" w:cs="仿宋_GB2312"/>
          <w:b w:val="0"/>
          <w:bCs/>
          <w:color w:val="000000"/>
          <w:sz w:val="32"/>
          <w:szCs w:val="32"/>
          <w:lang w:val="en-US" w:eastAsia="zh-CN"/>
        </w:rPr>
        <w:t>不发生人身伤害事故。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二、领导机构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切实加强冬季“四防”工作领导组织，确保总体工作有序推进，成立“四防”指挥部，公司“四防”指挥部办公室设在生产技术部调度室，生产技术部部长兼任办公室主任。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总 指 挥：高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副总指挥：陈争峰、郭兴建、许令奇、郭</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勇、郑思文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陈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成    员：曹绪宏、王少武、陈方悟</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余</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顺</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白</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鑫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张晋文、张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蕾、韩</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涛、翟</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琨、陈四华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李</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尧、丁小龙、苏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光、毛明礼、卢</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军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胡振宁、王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涛、霍爱会、张甫全、张荣江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戴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军</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梁</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侠、靳晓虎、靳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雷、冯 </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周</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 xml:space="preserve"> 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24小时应急电话：0477-2274600     0477-2274700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w:t>
      </w:r>
      <w:r>
        <w:rPr>
          <w:rFonts w:hint="default" w:ascii="黑体" w:hAnsi="黑体" w:eastAsia="黑体" w:cs="黑体"/>
          <w:b w:val="0"/>
          <w:bCs/>
          <w:color w:val="000000"/>
          <w:sz w:val="32"/>
          <w:szCs w:val="32"/>
          <w:lang w:val="en-US" w:eastAsia="zh-CN"/>
        </w:rPr>
        <w:t>冬季四防工作开展时间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2019年10月15日至20</w:t>
      </w:r>
      <w:r>
        <w:rPr>
          <w:rFonts w:hint="eastAsia" w:ascii="仿宋_GB2312" w:hAnsi="仿宋_GB2312" w:eastAsia="仿宋_GB2312" w:cs="仿宋_GB2312"/>
          <w:b w:val="0"/>
          <w:bCs/>
          <w:color w:val="000000"/>
          <w:sz w:val="32"/>
          <w:szCs w:val="32"/>
          <w:lang w:val="en-US" w:eastAsia="zh-CN"/>
        </w:rPr>
        <w:t>20</w:t>
      </w:r>
      <w:r>
        <w:rPr>
          <w:rFonts w:hint="default" w:ascii="仿宋_GB2312" w:hAnsi="仿宋_GB2312" w:eastAsia="仿宋_GB2312" w:cs="仿宋_GB2312"/>
          <w:b w:val="0"/>
          <w:bCs/>
          <w:color w:val="000000"/>
          <w:sz w:val="32"/>
          <w:szCs w:val="32"/>
          <w:lang w:val="en-US" w:eastAsia="zh-CN"/>
        </w:rPr>
        <w:t>年4月15日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四、加强冬季四防的宣传教育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冬季“四防”工作关系到公司财产安全、全体职工生命和健康、以及公司稳定发展，公司上下要高度重视冬季“四防”工作，作为一件大事来抓。党群部、安全环保部负责根据冬季特点，充分利用宣传栏、安全标语、内部OA办公系统等大力宣传冬季“四防”的重要意义及灾害预防知识。各车间要利用班前、班后会学习冬季“四防”相关内容，领导干部要深入广大职工中去，贯彻冬季安全生产注意事项，以此增强员工防范意识，提高员工自我防范能力，为安全生产打下坚实基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五、</w:t>
      </w:r>
      <w:r>
        <w:rPr>
          <w:rFonts w:hint="default" w:ascii="黑体" w:hAnsi="黑体" w:eastAsia="黑体" w:cs="黑体"/>
          <w:b w:val="0"/>
          <w:bCs/>
          <w:color w:val="000000"/>
          <w:sz w:val="32"/>
          <w:szCs w:val="32"/>
          <w:lang w:val="en-US" w:eastAsia="zh-CN"/>
        </w:rPr>
        <w:t>职责及要求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w:t>
      </w:r>
      <w:r>
        <w:rPr>
          <w:rFonts w:hint="default" w:ascii="仿宋_GB2312" w:hAnsi="仿宋_GB2312" w:eastAsia="仿宋_GB2312" w:cs="仿宋_GB2312"/>
          <w:b w:val="0"/>
          <w:bCs/>
          <w:color w:val="000000"/>
          <w:sz w:val="32"/>
          <w:szCs w:val="32"/>
          <w:lang w:val="en-US" w:eastAsia="zh-CN"/>
        </w:rPr>
        <w:t>生产技术部负责冬季“四防”具体工作落实情况的监督检查与全厂调度管理；负责重大事故抢险救灾协调指挥。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w:t>
      </w:r>
      <w:r>
        <w:rPr>
          <w:rFonts w:hint="default" w:ascii="仿宋_GB2312" w:hAnsi="仿宋_GB2312" w:eastAsia="仿宋_GB2312" w:cs="仿宋_GB2312"/>
          <w:b w:val="0"/>
          <w:bCs/>
          <w:color w:val="000000"/>
          <w:sz w:val="32"/>
          <w:szCs w:val="32"/>
          <w:lang w:val="en-US" w:eastAsia="zh-CN"/>
        </w:rPr>
        <w:t>设备部负责公司各类设备、供电设施及供电线路的防寒防冻、日常巡视检查维护的应急处理；负责公司通讯设施、通讯线路防寒防冻、日常巡视检查维护和应急处理。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3.安全环保部负责各单位冬季“四防”应急安全措施的督促检查；负责组织对各单位冬季“四防”工作的监督检查和考核。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4.各部门、车间对本单位的冬季“四防”工作负责，根据本通知要求于2019年10月20日前制订出本单位的冬季“四防”实施方案并报至安全环保部备案。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5.各单位提前做好冬季“四防”宣传工作，在活动开展前一周内召开一次班组长以上人员参加的冬季“四防”专题会，研究部署相关工作。会议要有签到、有记录，会议内容及采取的相关措施要及时传达给员工。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6.各单位根据各自的具体情况，有针对性的对干部、职工进行冬季“四防”知识培训，严格执行各项规章制度、岗位操作规程，加强劳动纪律管理，提高员工安全意识和自我防护能力，杜绝“三违”现象。同时要组织冬季“四防”相关技能培训，组织学习常见的易发、突发事故案例，增强职工应急处理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7.各单位要成立冬季“四防”工作领导小组，将冬季“四防”列入工作日程，落实好防范措施。各级领导干部要以身作则，从人、财、物各方面作好充分准备（各项物资要在活动开展前一周内准备完毕），物资专人专管，不得挪作它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8.各单位要每周组织一次冬季“四防”专项检查，对不能使用的物资要提前提报计划购买。检查工作要有专人负责，做到有计划、有落实、有整改。暂时不能整改的隐患要以书面形式在每周日前报安全环保部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消防队要保持信息畅通、全天值守，消防、气防等应急装备完好备用，时刻处于待命状态。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六、工作安排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防寒、防冻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（1）在冬季来临前做好设备、仪表、分析仪器的维护保养和保温工作，尤其是对液位计等易冻且影响生产的设备设施，制定防冻措施，并安排专人定时巡检，建立四防专项检查台帐。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（2）冬季冷结冰期间，清扫室外地面、楼梯卫生禁止用水冲洗打扫。主要路面要防止积水结冰，容易积水结冰的地方，要准备好沙子等防滑物品。巡检时上下楼梯要扶好栏杆，以防人员滑倒摔伤。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（3）加强管道、倒淋、排污的保温和管理，确保不冻坏一个阀门、一寸管道，杜绝因为防冻措施不力而影响生产。检维修设备和备用设备要做好防冻方案并认真执行。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（4）各类水、暖、气管道，尤其是消防系统，要及时采取防冻措施，进行防冻处理，确保正常使用。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（5）严格控制长流水及蒸汽伴热的用量，做好防冻措施和不必要的浪费。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（6）根据天气情况，做好110KV高压线路巡检工作及现场备好除冰、雪工具，保证即取即用。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（7）各单位10月30日前完成各自界区内暖气包的焊接、安装工作，确保在冬季来临之际做好防寒保暖的各项准备工作。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防火</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（1）各单位在组织安全检查时，把防火工作当成冬季安全生产的重点。组织电气人员对电气设备、老化裸露线路等不符合要求的设备器材进行检查、整改。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（2）严禁在厂房、操作室、仓库、化验室、宿舍等私搭乱接电线，未经允许不得使用电炉子、电褥子、热得快、电暖器等易引起火灾的电器设备；岗位临时物品存放处要设专人负责管理，消除火灾隐患。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（3）确保消防设施完好有效，消防器材完好备用，消防通道畅通无阻。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防中毒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（1）把防中毒工作作为重中之重，凡在室内的可燃有毒气体和蒸汽冷凝水排放点必须引到室外合适地点排放，严防可燃有毒气体积聚导致中毒、火灾事故。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（2）仪表车间认真检查、校验可燃有毒气体检测仪，确保检测结果准确有效。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（3）对可能造成有毒有害物质积聚的厂房、操作室、分析室要确保通风良好，各类安全设施完好备用，并建立检查检测专项检查台帐。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加强对危险化学品、易燃易爆物品、压力容器等危险源的管理，对有毒有害泄露点要及时处理，暂时不能处理的要挂牌警示，警示标识要清晰醒目。对关键装置、重点部位、重大危险源装置区、罐区要加强巡检、重点管理。日常操作要严格执行操作规程和设备维护保养规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（5）有毒有害气体倒淋排液和放空排放时，作业人应选择上风向并有专人监护，以免发生中毒事故。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七、其他要求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冬季“四防”期间加强对动火、登高、入罐、吊装等作业的现场安全管理。要充分落实安全防范措施，严格遵守动火禁令。劳动防护用品要穿戴齐全且符合要求，以防中毒；作业中存在的危险有害因素要充分辨识，严格按照规程操作，杜绝“违章”作业。加强明火管理，严格落实禁烟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（2）加强预防性检查检修工作，对薄弱部位早发现、早处理。在巡检中加强漏点检查，及时处理设备管道的跑、冒、滴、漏，严防中毒或引发其他事故。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（3）综合部做好办公区及宿舍的冬季“四防”管理工作，尤其要高度重视宿舍防火工作，确保不发生任何事故。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（4）各单位要开展职工上下班的安全教育和全管理工作，做好行车安全的防护工作，确保员工上下班安全。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各单位冬季“四防”要实行“五定”闭环管理，（定整改措施、定整改时间、定责任人、定资金、定控制措施）。对部分不能保温或保温不能防冻的部位，要采取其他措施并适当增加巡检频次，及时发现问题及时采取措施，确保不冻设备设施影响生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（6）各单位要把冬季“四防”作为交接班的重要内容来管理，电气、仪表、值班人员要将各自分管的防冻设备、设施定时检查，确保正常运行。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八、强化考核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1.各单位未制订冬季“四防”实施方案，未成立工作领导小组，未将实施方案、领导小组名单按时报安全环保部备案，对负责人按严重三违进行考核，罚款2000元。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2.各单位没有准备冬季“四防”物资或安全设施管理不善的，处罚负责人1000元，造成事故的，按照公司事故管理制度加倍处罚。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3.对冬季“四防”工作不重视、不采取措施或措施不全的，对负责人罚款1000元。造成事故的，按照公司事故管理制度加倍处罚。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4.各单位管理人员对职责范围内工作开展不力，给予相关责任人罚款 1000元并全厂通报批评。造成事故的，按照公司事故管理制度加倍处罚。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278" w:leftChars="304" w:right="0" w:rightChars="0" w:hanging="640" w:hanging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附件</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鄂尔多斯市西北能源化工有限责任公司</w:t>
      </w:r>
      <w:r>
        <w:rPr>
          <w:rFonts w:hint="eastAsia" w:ascii="仿宋_GB2312" w:hAnsi="仿宋_GB2312" w:eastAsia="仿宋_GB2312" w:cs="仿宋_GB2312"/>
          <w:b w:val="0"/>
          <w:bCs/>
          <w:color w:val="000000"/>
          <w:sz w:val="32"/>
          <w:szCs w:val="32"/>
          <w:lang w:eastAsia="zh-CN"/>
        </w:rPr>
        <w:t>（单位）</w:t>
      </w:r>
      <w:r>
        <w:rPr>
          <w:rFonts w:hint="default" w:ascii="仿宋_GB2312" w:hAnsi="仿宋_GB2312" w:eastAsia="仿宋_GB2312" w:cs="仿宋_GB2312"/>
          <w:b w:val="0"/>
          <w:bCs/>
          <w:color w:val="000000"/>
          <w:sz w:val="32"/>
          <w:szCs w:val="32"/>
          <w:lang w:val="en-US" w:eastAsia="zh-CN"/>
        </w:rPr>
        <w:t>冬季“四防”隐患排查表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201</w:t>
      </w: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14</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_GB2312" w:hAnsi="宋体" w:eastAsia="仿宋_GB2312"/>
          <w:color w:val="000000"/>
          <w:sz w:val="11"/>
          <w:szCs w:val="11"/>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40" w:lineRule="exact"/>
        <w:ind w:right="28"/>
        <w:jc w:val="left"/>
        <w:textAlignment w:val="auto"/>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综合部                      201</w:t>
      </w:r>
      <w:r>
        <w:rPr>
          <w:rFonts w:hint="eastAsia" w:ascii="仿宋_GB2312" w:hAnsi="仿宋" w:eastAsia="仿宋_GB2312"/>
          <w:snapToGrid w:val="0"/>
          <w:color w:val="auto"/>
          <w:sz w:val="28"/>
          <w:szCs w:val="28"/>
          <w:lang w:val="en-US" w:eastAsia="zh-CN"/>
        </w:rPr>
        <w:t>9</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10</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15</w:t>
      </w:r>
      <w:r>
        <w:rPr>
          <w:rFonts w:hint="eastAsia" w:ascii="仿宋_GB2312" w:hAnsi="仿宋" w:eastAsia="仿宋_GB2312"/>
          <w:snapToGrid w:val="0"/>
          <w:color w:val="auto"/>
          <w:sz w:val="28"/>
          <w:szCs w:val="28"/>
        </w:rPr>
        <w:t>日印发</w:t>
      </w:r>
      <w:r>
        <w:rPr>
          <w:rFonts w:hint="eastAsia" w:eastAsia="仿宋_GB2312"/>
          <w:sz w:val="28"/>
          <w:szCs w:val="32"/>
          <w:lang w:val="en-US" w:eastAsia="zh-CN"/>
        </w:rPr>
        <w:t xml:space="preserve">   </w:t>
      </w:r>
    </w:p>
    <w:p>
      <w:pPr>
        <w:sectPr>
          <w:footerReference r:id="rId4" w:type="default"/>
          <w:pgSz w:w="11906" w:h="16838"/>
          <w:pgMar w:top="1417" w:right="1474" w:bottom="1928" w:left="1587" w:header="851" w:footer="992" w:gutter="0"/>
          <w:pgNumType w:start="2"/>
          <w:cols w:space="720" w:num="1"/>
          <w:rtlGutter w:val="0"/>
          <w:docGrid w:linePitch="312" w:charSpace="0"/>
        </w:sectPr>
      </w:pPr>
    </w:p>
    <w:p>
      <w:pPr>
        <w:widowControl/>
        <w:autoSpaceDE w:val="0"/>
        <w:autoSpaceDN w:val="0"/>
        <w:adjustRightInd w:val="0"/>
        <w:snapToGrid w:val="0"/>
        <w:spacing w:line="360" w:lineRule="atLeast"/>
        <w:jc w:val="both"/>
        <w:textAlignment w:val="baseline"/>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附件：</w:t>
      </w:r>
    </w:p>
    <w:p>
      <w:pPr>
        <w:widowControl/>
        <w:autoSpaceDE w:val="0"/>
        <w:autoSpaceDN w:val="0"/>
        <w:adjustRightInd w:val="0"/>
        <w:snapToGrid w:val="0"/>
        <w:spacing w:line="360" w:lineRule="atLeast"/>
        <w:jc w:val="center"/>
        <w:textAlignment w:val="baseline"/>
        <w:rPr>
          <w:rFonts w:hint="eastAsia" w:ascii="方正小标宋简体" w:hAnsi="方正小标宋简体" w:eastAsia="方正小标宋简体" w:cs="方正小标宋简体"/>
          <w:b w:val="0"/>
          <w:bCs/>
          <w:kern w:val="0"/>
          <w:sz w:val="44"/>
          <w:szCs w:val="44"/>
          <w:lang w:eastAsia="zh-TW"/>
        </w:rPr>
      </w:pPr>
      <w:r>
        <w:rPr>
          <w:rFonts w:hint="eastAsia" w:ascii="方正小标宋简体" w:hAnsi="方正小标宋简体" w:eastAsia="方正小标宋简体" w:cs="方正小标宋简体"/>
          <w:b w:val="0"/>
          <w:bCs/>
          <w:kern w:val="0"/>
          <w:sz w:val="44"/>
          <w:szCs w:val="44"/>
          <w:lang w:eastAsia="zh-TW"/>
        </w:rPr>
        <w:t>鄂尔多斯市西北能源化工有限责任公司</w:t>
      </w:r>
    </w:p>
    <w:p>
      <w:pPr>
        <w:widowControl/>
        <w:autoSpaceDE w:val="0"/>
        <w:autoSpaceDN w:val="0"/>
        <w:adjustRightInd w:val="0"/>
        <w:snapToGrid w:val="0"/>
        <w:spacing w:line="360" w:lineRule="atLeast"/>
        <w:jc w:val="center"/>
        <w:textAlignment w:val="baseline"/>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lang w:eastAsia="zh-TW"/>
        </w:rPr>
        <w:t>（单位）冬季</w:t>
      </w:r>
      <w:r>
        <w:rPr>
          <w:rFonts w:hint="eastAsia" w:ascii="方正小标宋简体" w:hAnsi="方正小标宋简体" w:eastAsia="方正小标宋简体" w:cs="方正小标宋简体"/>
          <w:b w:val="0"/>
          <w:bCs/>
          <w:kern w:val="0"/>
          <w:sz w:val="44"/>
          <w:szCs w:val="44"/>
        </w:rPr>
        <w:t>“四防”</w:t>
      </w:r>
      <w:r>
        <w:rPr>
          <w:rFonts w:hint="eastAsia" w:ascii="方正小标宋简体" w:hAnsi="方正小标宋简体" w:eastAsia="方正小标宋简体" w:cs="方正小标宋简体"/>
          <w:b w:val="0"/>
          <w:bCs/>
          <w:kern w:val="0"/>
          <w:sz w:val="44"/>
          <w:szCs w:val="44"/>
          <w:lang w:eastAsia="zh-TW"/>
        </w:rPr>
        <w:t>隐患排查表</w:t>
      </w:r>
    </w:p>
    <w:tbl>
      <w:tblPr>
        <w:tblStyle w:val="5"/>
        <w:tblpPr w:leftFromText="180" w:rightFromText="180" w:vertAnchor="text" w:horzAnchor="page" w:tblpX="526" w:tblpY="732"/>
        <w:tblOverlap w:val="never"/>
        <w:tblW w:w="15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50"/>
        <w:gridCol w:w="5609"/>
        <w:gridCol w:w="3571"/>
        <w:gridCol w:w="186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60" w:type="dxa"/>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检查项目</w:t>
            </w:r>
          </w:p>
        </w:tc>
        <w:tc>
          <w:tcPr>
            <w:tcW w:w="1650" w:type="dxa"/>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检查类型</w:t>
            </w:r>
          </w:p>
        </w:tc>
        <w:tc>
          <w:tcPr>
            <w:tcW w:w="5609" w:type="dxa"/>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检查内容</w:t>
            </w:r>
          </w:p>
        </w:tc>
        <w:tc>
          <w:tcPr>
            <w:tcW w:w="3571" w:type="dxa"/>
            <w:noWrap w:val="0"/>
            <w:vAlign w:val="center"/>
          </w:tcPr>
          <w:p>
            <w:pPr>
              <w:autoSpaceDE w:val="0"/>
              <w:autoSpaceDN w:val="0"/>
              <w:adjustRightInd w:val="0"/>
              <w:spacing w:line="360" w:lineRule="atLeast"/>
              <w:jc w:val="center"/>
              <w:textAlignment w:val="baseline"/>
              <w:rPr>
                <w:rFonts w:hint="eastAsia" w:ascii="Calibri" w:hAnsi="Calibri" w:eastAsia="宋体" w:cs="Times New Roman"/>
                <w:kern w:val="0"/>
                <w:sz w:val="21"/>
                <w:szCs w:val="21"/>
                <w:lang w:val="en-US" w:eastAsia="zh-CN"/>
              </w:rPr>
            </w:pPr>
            <w:r>
              <w:rPr>
                <w:rFonts w:hint="eastAsia" w:cs="Times New Roman"/>
                <w:kern w:val="0"/>
                <w:sz w:val="21"/>
                <w:szCs w:val="21"/>
                <w:lang w:val="en-US" w:eastAsia="zh-CN"/>
              </w:rPr>
              <w:t>检查依据/方法</w:t>
            </w:r>
          </w:p>
        </w:tc>
        <w:tc>
          <w:tcPr>
            <w:tcW w:w="1860" w:type="dxa"/>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检查情况</w:t>
            </w:r>
          </w:p>
        </w:tc>
        <w:tc>
          <w:tcPr>
            <w:tcW w:w="1920" w:type="dxa"/>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260"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防寒</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基础管理</w:t>
            </w:r>
          </w:p>
        </w:tc>
        <w:tc>
          <w:tcPr>
            <w:tcW w:w="56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1、编制防冻防凝方案，并实施；2、扫帚等物资储备充足；3、罐区等半封闭设备无积水、积雪</w:t>
            </w:r>
            <w:r>
              <w:rPr>
                <w:rFonts w:hint="eastAsia" w:ascii="Calibri" w:hAnsi="Calibri" w:eastAsia="宋体" w:cs="Times New Roman"/>
                <w:kern w:val="0"/>
                <w:sz w:val="21"/>
                <w:szCs w:val="21"/>
              </w:rPr>
              <w:t>。</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260" w:type="dxa"/>
            <w:vMerge w:val="continue"/>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管线管理</w:t>
            </w:r>
          </w:p>
        </w:tc>
        <w:tc>
          <w:tcPr>
            <w:tcW w:w="56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供暖（蒸汽）管线通畅；2、管线有保温措施；3、管线保温措施完好；4、无跑冒滴漏。</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260" w:type="dxa"/>
            <w:vMerge w:val="continue"/>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设备管理</w:t>
            </w:r>
          </w:p>
        </w:tc>
        <w:tc>
          <w:tcPr>
            <w:tcW w:w="5609"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lang w:eastAsia="zh-TW"/>
              </w:rPr>
              <w:t>1、气温突降时备用设备冷却水（防冻水）流通量适当；2、伴热管流量及温度适合；3、无跑冒滴漏；4、无循环水的机泵定期进行盘泵；5、罐区等处排水阀灵活好用</w:t>
            </w:r>
            <w:r>
              <w:rPr>
                <w:rFonts w:hint="eastAsia" w:ascii="Calibri" w:hAnsi="Calibri" w:eastAsia="宋体" w:cs="Times New Roman"/>
                <w:kern w:val="0"/>
                <w:sz w:val="21"/>
                <w:szCs w:val="21"/>
              </w:rPr>
              <w:t>；6、厂房、设备间保温棉帘悬挂完好。</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260" w:type="dxa"/>
            <w:vMerge w:val="restart"/>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防冻</w:t>
            </w: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现场管理</w:t>
            </w:r>
          </w:p>
        </w:tc>
        <w:tc>
          <w:tcPr>
            <w:tcW w:w="5609"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1、脚手架、工作台、通道、梯子、吊架等高处平台经检测合格，无坠落风险方可使用；2、雨雪天高处作业时必须先清理冰、霜、雪后才能作业；3、作业上方</w:t>
            </w:r>
            <w:r>
              <w:rPr>
                <w:rFonts w:hint="eastAsia" w:ascii="Calibri" w:hAnsi="Calibri" w:eastAsia="宋体" w:cs="Times New Roman"/>
                <w:kern w:val="0"/>
                <w:sz w:val="21"/>
                <w:szCs w:val="21"/>
                <w:lang w:eastAsia="zh-TW"/>
              </w:rPr>
              <w:t>装置设施上的冰凌应及时敲掉；</w:t>
            </w:r>
            <w:r>
              <w:rPr>
                <w:rFonts w:hint="eastAsia" w:ascii="Calibri" w:hAnsi="Calibri" w:eastAsia="宋体" w:cs="Times New Roman"/>
                <w:kern w:val="0"/>
                <w:sz w:val="21"/>
                <w:szCs w:val="21"/>
              </w:rPr>
              <w:t>4</w:t>
            </w:r>
            <w:r>
              <w:rPr>
                <w:rFonts w:hint="eastAsia" w:ascii="Calibri" w:hAnsi="Calibri" w:eastAsia="宋体" w:cs="Times New Roman"/>
                <w:kern w:val="0"/>
                <w:sz w:val="21"/>
                <w:szCs w:val="21"/>
                <w:lang w:eastAsia="zh-TW"/>
              </w:rPr>
              <w:t>、职工在岗期间要穿戴好劳保用品。</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260" w:type="dxa"/>
            <w:vMerge w:val="continue"/>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rPr>
            </w:pP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防滑措施</w:t>
            </w:r>
          </w:p>
        </w:tc>
        <w:tc>
          <w:tcPr>
            <w:tcW w:w="5609"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1、楼梯、斜面通道无结冰、无积雪；2、作业场地道路平坦、无结冰；3、雨雪天巡检通道、巡检路线有防滑措施。</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260" w:type="dxa"/>
            <w:vMerge w:val="continue"/>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rPr>
            </w:pP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劳动保护</w:t>
            </w:r>
          </w:p>
        </w:tc>
        <w:tc>
          <w:tcPr>
            <w:tcW w:w="5609"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both"/>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职工上岗劳保着装齐全。</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260" w:type="dxa"/>
            <w:vMerge w:val="restart"/>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防火</w:t>
            </w: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现场管理</w:t>
            </w:r>
          </w:p>
        </w:tc>
        <w:tc>
          <w:tcPr>
            <w:tcW w:w="5609"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1、厂区无杂干草堆积；2、现场无易燃物堆积；3、易燃可燃物资按照“五距”标准放置；4、工完料净场地清；5、设施、器材、物料摆放规范；6、无跑冒滴漏及散落</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260" w:type="dxa"/>
            <w:vMerge w:val="continue"/>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rPr>
            </w:pP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基础管理</w:t>
            </w:r>
          </w:p>
        </w:tc>
        <w:tc>
          <w:tcPr>
            <w:tcW w:w="5609"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1、压力容器、安全阀等检测合格；2、相关场所电器、照明符合防爆要求。3、消防器材充足、完好；4、应急器材符合要求；5、报警仪器灵敏好用</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260" w:type="dxa"/>
            <w:vMerge w:val="continue"/>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rPr>
            </w:pP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作业安全</w:t>
            </w:r>
          </w:p>
        </w:tc>
        <w:tc>
          <w:tcPr>
            <w:tcW w:w="5609"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rPr>
            </w:pPr>
            <w:r>
              <w:rPr>
                <w:rFonts w:hint="eastAsia" w:ascii="Calibri" w:hAnsi="Calibri" w:eastAsia="宋体" w:cs="Times New Roman"/>
                <w:kern w:val="0"/>
                <w:sz w:val="21"/>
                <w:szCs w:val="21"/>
              </w:rPr>
              <w:t>1、按照操作规程进行作业；2、严格执行动火规章制度；3、作业时监护人在场；4、电器、线路、开关接触良好，符合防爆要求；5、危化品卸车严格执行“五项核准”规定。</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260" w:type="dxa"/>
            <w:vMerge w:val="restart"/>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防</w:t>
            </w:r>
          </w:p>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中</w:t>
            </w:r>
          </w:p>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毒</w:t>
            </w: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通风设备</w:t>
            </w:r>
          </w:p>
        </w:tc>
        <w:tc>
          <w:tcPr>
            <w:tcW w:w="5609"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both"/>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风机等通风设备状况良好，运转状况良好（易燃易爆场所应使用防爆型）。</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260" w:type="dxa"/>
            <w:vMerge w:val="continue"/>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防护用品</w:t>
            </w:r>
          </w:p>
        </w:tc>
        <w:tc>
          <w:tcPr>
            <w:tcW w:w="5609"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both"/>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1、防护器材及用品齐全、完好；2、救援器材齐全、好用。</w:t>
            </w:r>
          </w:p>
        </w:tc>
        <w:tc>
          <w:tcPr>
            <w:tcW w:w="357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260" w:type="dxa"/>
            <w:vMerge w:val="continue"/>
            <w:tcBorders>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p>
        </w:tc>
        <w:tc>
          <w:tcPr>
            <w:tcW w:w="165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tLeast"/>
              <w:jc w:val="center"/>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作业现场安全</w:t>
            </w:r>
          </w:p>
        </w:tc>
        <w:tc>
          <w:tcPr>
            <w:tcW w:w="5609" w:type="dxa"/>
            <w:tcBorders>
              <w:top w:val="single" w:color="auto" w:sz="4" w:space="0"/>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rPr>
                <w:rFonts w:hint="eastAsia" w:ascii="Calibri" w:hAnsi="Calibri" w:eastAsia="宋体" w:cs="Times New Roman"/>
                <w:kern w:val="0"/>
                <w:sz w:val="21"/>
                <w:szCs w:val="21"/>
                <w:lang w:eastAsia="zh-TW"/>
              </w:rPr>
              <w:t>1、办理进入受限空间办理作业票证；2、监护人在岗；3、岗位有害物质浓度不超标；4、消除跑冒滴漏现象；5、进入受限空间作业时间不宜过长；6、作业完毕进行</w:t>
            </w:r>
            <w:r>
              <w:rPr>
                <w:rFonts w:hint="eastAsia" w:cs="Times New Roman"/>
                <w:kern w:val="0"/>
                <w:sz w:val="21"/>
                <w:szCs w:val="21"/>
                <w:lang w:eastAsia="zh-CN"/>
              </w:rPr>
              <w:t>完工验收</w:t>
            </w:r>
            <w:r>
              <w:rPr>
                <w:rFonts w:hint="eastAsia" w:ascii="Calibri" w:hAnsi="Calibri" w:eastAsia="宋体" w:cs="Times New Roman"/>
                <w:kern w:val="0"/>
                <w:sz w:val="21"/>
                <w:szCs w:val="21"/>
                <w:lang w:eastAsia="zh-TW"/>
              </w:rPr>
              <w:t>。</w:t>
            </w:r>
          </w:p>
        </w:tc>
        <w:tc>
          <w:tcPr>
            <w:tcW w:w="3571" w:type="dxa"/>
            <w:tcBorders>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r>
              <w:fldChar w:fldCharType="begin"/>
            </w:r>
            <w:r>
              <w:instrText xml:space="preserve"> HYPERLINK "http://www.chinasafety.gov.cn/newpage/Contents/Channel_5436/2012/0810/174993/files_founder_2318926158/277338609.pdf" \t "_blank" </w:instrText>
            </w:r>
            <w:r>
              <w:fldChar w:fldCharType="separate"/>
            </w:r>
            <w:r>
              <w:rPr>
                <w:rFonts w:hint="eastAsia" w:ascii="仿宋_GB2312" w:hAnsi="Calibri" w:eastAsia="仿宋_GB2312" w:cs="Times New Roman"/>
                <w:szCs w:val="21"/>
              </w:rPr>
              <w:t>《危险化学品企业事故隐患排查治理实施导则》</w:t>
            </w:r>
            <w:r>
              <w:rPr>
                <w:rFonts w:hint="eastAsia" w:ascii="仿宋_GB2312" w:hAnsi="Calibri" w:eastAsia="仿宋_GB2312" w:cs="Times New Roman"/>
                <w:szCs w:val="21"/>
              </w:rPr>
              <w:fldChar w:fldCharType="end"/>
            </w:r>
            <w:r>
              <w:rPr>
                <w:rFonts w:hint="eastAsia" w:ascii="仿宋_GB2312" w:hAnsi="Calibri" w:eastAsia="仿宋_GB2312" w:cs="Times New Roman"/>
                <w:szCs w:val="21"/>
              </w:rPr>
              <w:t>、公司《安全管理规定》</w:t>
            </w:r>
          </w:p>
        </w:tc>
        <w:tc>
          <w:tcPr>
            <w:tcW w:w="1860" w:type="dxa"/>
            <w:tcBorders>
              <w:left w:val="single" w:color="auto" w:sz="4" w:space="0"/>
              <w:right w:val="single" w:color="auto" w:sz="4" w:space="0"/>
            </w:tcBorders>
            <w:noWrap w:val="0"/>
            <w:vAlign w:val="center"/>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c>
          <w:tcPr>
            <w:tcW w:w="1920" w:type="dxa"/>
            <w:tcBorders>
              <w:left w:val="single" w:color="auto" w:sz="4" w:space="0"/>
              <w:right w:val="single" w:color="auto" w:sz="4" w:space="0"/>
            </w:tcBorders>
            <w:noWrap w:val="0"/>
            <w:vAlign w:val="top"/>
          </w:tcPr>
          <w:p>
            <w:pPr>
              <w:autoSpaceDE w:val="0"/>
              <w:autoSpaceDN w:val="0"/>
              <w:adjustRightInd w:val="0"/>
              <w:spacing w:line="360" w:lineRule="atLeast"/>
              <w:jc w:val="left"/>
              <w:textAlignment w:val="baseline"/>
              <w:rPr>
                <w:rFonts w:ascii="Calibri" w:hAnsi="Calibri" w:eastAsia="宋体" w:cs="Times New Roman"/>
                <w:kern w:val="0"/>
                <w:sz w:val="21"/>
                <w:szCs w:val="21"/>
                <w:lang w:eastAsia="zh-TW"/>
              </w:rPr>
            </w:pPr>
          </w:p>
        </w:tc>
      </w:tr>
    </w:tbl>
    <w:p>
      <w:pPr>
        <w:sectPr>
          <w:footerReference r:id="rId5" w:type="default"/>
          <w:pgSz w:w="16838" w:h="11906" w:orient="landscape"/>
          <w:pgMar w:top="1587" w:right="1417" w:bottom="1474" w:left="1928" w:header="851" w:footer="992" w:gutter="0"/>
          <w:pgNumType w:start="1"/>
          <w:cols w:space="720" w:num="1"/>
          <w:rtlGutter w:val="0"/>
          <w:docGrid w:linePitch="312" w:charSpace="0"/>
        </w:sectPr>
      </w:pPr>
    </w:p>
    <w:p/>
    <w:p/>
    <w:p/>
    <w:p/>
    <w:sectPr>
      <w:footerReference r:id="rId6" w:type="default"/>
      <w:pgSz w:w="11906" w:h="16838"/>
      <w:pgMar w:top="1417" w:right="1474" w:bottom="1928" w:left="1587" w:header="851" w:footer="992" w:gutter="0"/>
      <w:pgNumType w:start="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F22DC"/>
    <w:rsid w:val="03302806"/>
    <w:rsid w:val="1D6F22DC"/>
    <w:rsid w:val="2CE1258F"/>
    <w:rsid w:val="33593D1C"/>
    <w:rsid w:val="37161381"/>
    <w:rsid w:val="47653CA3"/>
    <w:rsid w:val="4B1307C4"/>
    <w:rsid w:val="52817A9A"/>
    <w:rsid w:val="72E1784E"/>
    <w:rsid w:val="7CA31DE1"/>
    <w:rsid w:val="7E5F6115"/>
    <w:rsid w:val="7E6F4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 Char Char Char Char"/>
    <w:basedOn w:val="1"/>
    <w:link w:val="6"/>
    <w:qFormat/>
    <w:uiPriority w:val="0"/>
  </w:style>
  <w:style w:type="character" w:styleId="8">
    <w:name w:val="page number"/>
    <w:basedOn w:val="6"/>
    <w:qFormat/>
    <w:uiPriority w:val="0"/>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2019-10-15T02:21:00Z</dcterms:created>
  <dc:creator>黑枣儿</dc:creator>
  <cp:lastModifiedBy>黑枣儿</cp:lastModifiedBy>
  <cp:lastPrinted>2019-10-15T03:39:00Z</cp:lastPrinted>
  <dcterms:modified xsi:type="dcterms:W3CDTF">2019-10-17T02:47:38Z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